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3C" w:rsidRDefault="0051373C"/>
    <w:p w:rsidR="00167F06" w:rsidRDefault="00167F06" w:rsidP="00167F06">
      <w:pPr>
        <w:jc w:val="center"/>
        <w:rPr>
          <w:rFonts w:ascii="Times New Roman" w:hAnsi="Times New Roman" w:cs="Times New Roman"/>
          <w:b/>
          <w:sz w:val="28"/>
          <w:szCs w:val="28"/>
        </w:rPr>
      </w:pPr>
      <w:r w:rsidRPr="00167F06">
        <w:rPr>
          <w:rFonts w:ascii="Times New Roman" w:hAnsi="Times New Roman" w:cs="Times New Roman"/>
          <w:b/>
          <w:sz w:val="28"/>
          <w:szCs w:val="28"/>
        </w:rPr>
        <w:t>RELAZIONE ILLUSTRATIVA</w:t>
      </w:r>
    </w:p>
    <w:p w:rsidR="00167F06" w:rsidRDefault="00167F06" w:rsidP="00167F06">
      <w:pPr>
        <w:rPr>
          <w:rFonts w:ascii="Times New Roman" w:hAnsi="Times New Roman" w:cs="Times New Roman"/>
          <w:b/>
        </w:rPr>
      </w:pPr>
      <w:r>
        <w:rPr>
          <w:rFonts w:ascii="Times New Roman" w:hAnsi="Times New Roman" w:cs="Times New Roman"/>
          <w:b/>
        </w:rPr>
        <w:t>Modulo 1- Illustrazione degli aspetti procedurali  e sintesi del contenuto del contratto</w:t>
      </w:r>
    </w:p>
    <w:tbl>
      <w:tblPr>
        <w:tblStyle w:val="Grigliatabella"/>
        <w:tblW w:w="0" w:type="auto"/>
        <w:tblLook w:val="04A0"/>
      </w:tblPr>
      <w:tblGrid>
        <w:gridCol w:w="2518"/>
        <w:gridCol w:w="2410"/>
        <w:gridCol w:w="4850"/>
      </w:tblGrid>
      <w:tr w:rsidR="00167F06" w:rsidTr="0033621C">
        <w:tc>
          <w:tcPr>
            <w:tcW w:w="4928" w:type="dxa"/>
            <w:gridSpan w:val="2"/>
          </w:tcPr>
          <w:p w:rsidR="00167F06" w:rsidRDefault="00167F06" w:rsidP="00DF1B35">
            <w:pPr>
              <w:rPr>
                <w:rFonts w:ascii="Times New Roman" w:hAnsi="Times New Roman" w:cs="Times New Roman"/>
                <w:b/>
              </w:rPr>
            </w:pPr>
            <w:r>
              <w:rPr>
                <w:rFonts w:ascii="Times New Roman" w:hAnsi="Times New Roman" w:cs="Times New Roman"/>
                <w:b/>
              </w:rPr>
              <w:t>Data di sottoscrizione</w:t>
            </w:r>
            <w:r w:rsidR="006314E5">
              <w:rPr>
                <w:rFonts w:ascii="Times New Roman" w:hAnsi="Times New Roman" w:cs="Times New Roman"/>
                <w:b/>
              </w:rPr>
              <w:t xml:space="preserve"> </w:t>
            </w:r>
          </w:p>
        </w:tc>
        <w:tc>
          <w:tcPr>
            <w:tcW w:w="4850" w:type="dxa"/>
          </w:tcPr>
          <w:p w:rsidR="00167F06" w:rsidRPr="0033621C" w:rsidRDefault="00DF1B35" w:rsidP="00DF1B35">
            <w:pPr>
              <w:rPr>
                <w:rFonts w:ascii="Times New Roman" w:hAnsi="Times New Roman" w:cs="Times New Roman"/>
                <w:sz w:val="20"/>
                <w:szCs w:val="20"/>
              </w:rPr>
            </w:pPr>
            <w:r>
              <w:rPr>
                <w:rFonts w:ascii="Times New Roman" w:hAnsi="Times New Roman" w:cs="Times New Roman"/>
                <w:sz w:val="20"/>
                <w:szCs w:val="20"/>
              </w:rPr>
              <w:t>13</w:t>
            </w:r>
            <w:r w:rsidR="009236ED">
              <w:rPr>
                <w:rFonts w:ascii="Times New Roman" w:hAnsi="Times New Roman" w:cs="Times New Roman"/>
                <w:sz w:val="20"/>
                <w:szCs w:val="20"/>
              </w:rPr>
              <w:t>/0</w:t>
            </w:r>
            <w:r>
              <w:rPr>
                <w:rFonts w:ascii="Times New Roman" w:hAnsi="Times New Roman" w:cs="Times New Roman"/>
                <w:sz w:val="20"/>
                <w:szCs w:val="20"/>
              </w:rPr>
              <w:t>5</w:t>
            </w:r>
            <w:r w:rsidR="00167F06" w:rsidRPr="0033621C">
              <w:rPr>
                <w:rFonts w:ascii="Times New Roman" w:hAnsi="Times New Roman" w:cs="Times New Roman"/>
                <w:sz w:val="20"/>
                <w:szCs w:val="20"/>
              </w:rPr>
              <w:t>/201</w:t>
            </w:r>
            <w:r w:rsidR="009236ED">
              <w:rPr>
                <w:rFonts w:ascii="Times New Roman" w:hAnsi="Times New Roman" w:cs="Times New Roman"/>
                <w:sz w:val="20"/>
                <w:szCs w:val="20"/>
              </w:rPr>
              <w:t>5</w:t>
            </w:r>
          </w:p>
        </w:tc>
      </w:tr>
      <w:tr w:rsidR="00167F06" w:rsidTr="0033621C">
        <w:tc>
          <w:tcPr>
            <w:tcW w:w="4928" w:type="dxa"/>
            <w:gridSpan w:val="2"/>
          </w:tcPr>
          <w:p w:rsidR="00167F06" w:rsidRDefault="00167F06" w:rsidP="00167F06">
            <w:pPr>
              <w:rPr>
                <w:rFonts w:ascii="Times New Roman" w:hAnsi="Times New Roman" w:cs="Times New Roman"/>
                <w:b/>
              </w:rPr>
            </w:pPr>
            <w:r>
              <w:rPr>
                <w:rFonts w:ascii="Times New Roman" w:hAnsi="Times New Roman" w:cs="Times New Roman"/>
                <w:b/>
              </w:rPr>
              <w:t>Periodo temporale di vigenza</w:t>
            </w:r>
          </w:p>
        </w:tc>
        <w:tc>
          <w:tcPr>
            <w:tcW w:w="4850" w:type="dxa"/>
          </w:tcPr>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ANNO 201</w:t>
            </w:r>
            <w:r w:rsidR="009236ED">
              <w:rPr>
                <w:rFonts w:ascii="Times New Roman" w:hAnsi="Times New Roman" w:cs="Times New Roman"/>
                <w:sz w:val="20"/>
                <w:szCs w:val="20"/>
              </w:rPr>
              <w:t>4</w:t>
            </w:r>
          </w:p>
        </w:tc>
      </w:tr>
      <w:tr w:rsidR="00167F06" w:rsidTr="0033621C">
        <w:tc>
          <w:tcPr>
            <w:tcW w:w="4928" w:type="dxa"/>
            <w:gridSpan w:val="2"/>
          </w:tcPr>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r>
              <w:rPr>
                <w:rFonts w:ascii="Times New Roman" w:hAnsi="Times New Roman" w:cs="Times New Roman"/>
                <w:b/>
              </w:rPr>
              <w:t>Composizione</w:t>
            </w:r>
          </w:p>
          <w:p w:rsidR="00167F06" w:rsidRDefault="00167F06" w:rsidP="00167F06">
            <w:pPr>
              <w:rPr>
                <w:rFonts w:ascii="Times New Roman" w:hAnsi="Times New Roman" w:cs="Times New Roman"/>
                <w:b/>
              </w:rPr>
            </w:pPr>
            <w:r>
              <w:rPr>
                <w:rFonts w:ascii="Times New Roman" w:hAnsi="Times New Roman" w:cs="Times New Roman"/>
                <w:b/>
              </w:rPr>
              <w:t>della  delegazione trattante</w:t>
            </w:r>
          </w:p>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p>
        </w:tc>
        <w:tc>
          <w:tcPr>
            <w:tcW w:w="4850" w:type="dxa"/>
          </w:tcPr>
          <w:p w:rsidR="00167F06" w:rsidRPr="0033621C" w:rsidRDefault="00167F06" w:rsidP="00167F06">
            <w:pPr>
              <w:rPr>
                <w:rFonts w:ascii="Times New Roman" w:hAnsi="Times New Roman" w:cs="Times New Roman"/>
                <w:sz w:val="20"/>
                <w:szCs w:val="20"/>
                <w:u w:val="single"/>
              </w:rPr>
            </w:pPr>
            <w:r w:rsidRPr="0033621C">
              <w:rPr>
                <w:rFonts w:ascii="Times New Roman" w:hAnsi="Times New Roman" w:cs="Times New Roman"/>
                <w:sz w:val="20"/>
                <w:szCs w:val="20"/>
                <w:u w:val="single"/>
              </w:rPr>
              <w:t>Parte Pubblica</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 xml:space="preserve">Presidente: Segretario generale dell’Ente </w:t>
            </w:r>
            <w:proofErr w:type="spellStart"/>
            <w:r w:rsidRPr="0033621C">
              <w:rPr>
                <w:rFonts w:ascii="Times New Roman" w:hAnsi="Times New Roman" w:cs="Times New Roman"/>
                <w:sz w:val="20"/>
                <w:szCs w:val="20"/>
              </w:rPr>
              <w:t>f.f.</w:t>
            </w:r>
            <w:proofErr w:type="spellEnd"/>
          </w:p>
          <w:p w:rsidR="00167F06" w:rsidRPr="0033621C" w:rsidRDefault="00167F06" w:rsidP="00167F06">
            <w:pPr>
              <w:rPr>
                <w:rFonts w:ascii="Times New Roman" w:hAnsi="Times New Roman" w:cs="Times New Roman"/>
                <w:sz w:val="20"/>
                <w:szCs w:val="20"/>
                <w:u w:val="single"/>
              </w:rPr>
            </w:pPr>
            <w:r w:rsidRPr="0033621C">
              <w:rPr>
                <w:rFonts w:ascii="Times New Roman" w:hAnsi="Times New Roman" w:cs="Times New Roman"/>
                <w:sz w:val="20"/>
                <w:szCs w:val="20"/>
                <w:u w:val="single"/>
              </w:rPr>
              <w:t>Parte Sindacale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RSU</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Organizzazioni sindacali ammesse alla contrattazione: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FP/CGIL; FP/CISL; CSA; UIL Federazione Poteri Locali</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Organizzazioni sindacali firmatarie: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Tutte</w:t>
            </w:r>
          </w:p>
        </w:tc>
      </w:tr>
      <w:tr w:rsidR="00167F06" w:rsidTr="0033621C">
        <w:tc>
          <w:tcPr>
            <w:tcW w:w="4928" w:type="dxa"/>
            <w:gridSpan w:val="2"/>
          </w:tcPr>
          <w:p w:rsidR="00167F06" w:rsidRDefault="00167F06" w:rsidP="00167F06">
            <w:pPr>
              <w:rPr>
                <w:rFonts w:ascii="Times New Roman" w:hAnsi="Times New Roman" w:cs="Times New Roman"/>
                <w:b/>
              </w:rPr>
            </w:pPr>
            <w:r>
              <w:rPr>
                <w:rFonts w:ascii="Times New Roman" w:hAnsi="Times New Roman" w:cs="Times New Roman"/>
                <w:b/>
              </w:rPr>
              <w:t>Soggetti destinatari</w:t>
            </w:r>
          </w:p>
        </w:tc>
        <w:tc>
          <w:tcPr>
            <w:tcW w:w="4850" w:type="dxa"/>
          </w:tcPr>
          <w:p w:rsidR="00167F06" w:rsidRPr="0033621C" w:rsidRDefault="0033621C" w:rsidP="00167F06">
            <w:pPr>
              <w:rPr>
                <w:rFonts w:ascii="Times New Roman" w:hAnsi="Times New Roman" w:cs="Times New Roman"/>
                <w:sz w:val="20"/>
                <w:szCs w:val="20"/>
              </w:rPr>
            </w:pPr>
            <w:r w:rsidRPr="0033621C">
              <w:rPr>
                <w:rFonts w:ascii="Times New Roman" w:hAnsi="Times New Roman" w:cs="Times New Roman"/>
                <w:sz w:val="20"/>
                <w:szCs w:val="20"/>
              </w:rPr>
              <w:t>Personale dell’Ente</w:t>
            </w:r>
          </w:p>
        </w:tc>
      </w:tr>
      <w:tr w:rsidR="00167F06" w:rsidTr="0033621C">
        <w:tc>
          <w:tcPr>
            <w:tcW w:w="4928" w:type="dxa"/>
            <w:gridSpan w:val="2"/>
          </w:tcPr>
          <w:p w:rsidR="00167F06" w:rsidRDefault="0033621C" w:rsidP="00167F06">
            <w:pPr>
              <w:rPr>
                <w:rFonts w:ascii="Times New Roman" w:hAnsi="Times New Roman" w:cs="Times New Roman"/>
                <w:b/>
              </w:rPr>
            </w:pPr>
            <w:r>
              <w:rPr>
                <w:rFonts w:ascii="Times New Roman" w:hAnsi="Times New Roman" w:cs="Times New Roman"/>
                <w:b/>
              </w:rPr>
              <w:t>Materie trattate dal contratto integrativo</w:t>
            </w:r>
          </w:p>
        </w:tc>
        <w:tc>
          <w:tcPr>
            <w:tcW w:w="4850" w:type="dxa"/>
          </w:tcPr>
          <w:p w:rsidR="00167F06" w:rsidRPr="0033621C" w:rsidRDefault="0033621C" w:rsidP="00262451">
            <w:pPr>
              <w:jc w:val="both"/>
              <w:rPr>
                <w:rFonts w:ascii="Times New Roman" w:hAnsi="Times New Roman" w:cs="Times New Roman"/>
                <w:sz w:val="20"/>
                <w:szCs w:val="20"/>
              </w:rPr>
            </w:pPr>
            <w:r w:rsidRPr="0033621C">
              <w:rPr>
                <w:rFonts w:ascii="Times New Roman" w:hAnsi="Times New Roman" w:cs="Times New Roman"/>
                <w:sz w:val="20"/>
                <w:szCs w:val="20"/>
              </w:rPr>
              <w:t>Utilizzo risorse decentrate tra gli istituti previsti dalle norme contrattuali</w:t>
            </w:r>
          </w:p>
        </w:tc>
      </w:tr>
      <w:tr w:rsidR="00896F57" w:rsidTr="00896F57">
        <w:trPr>
          <w:trHeight w:val="952"/>
        </w:trPr>
        <w:tc>
          <w:tcPr>
            <w:tcW w:w="2518" w:type="dxa"/>
            <w:vMerge w:val="restart"/>
            <w:textDirection w:val="btLr"/>
          </w:tcPr>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jc w:val="center"/>
              <w:rPr>
                <w:rFonts w:ascii="Times New Roman" w:hAnsi="Times New Roman" w:cs="Times New Roman"/>
                <w:b/>
              </w:rPr>
            </w:pPr>
            <w:r>
              <w:rPr>
                <w:rFonts w:ascii="Times New Roman" w:hAnsi="Times New Roman" w:cs="Times New Roman"/>
                <w:b/>
              </w:rPr>
              <w:t>Rispetto dell’iter adempimenti procedurali e degli atti propedeutici e successivi alla contrattazione</w:t>
            </w: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tc>
        <w:tc>
          <w:tcPr>
            <w:tcW w:w="2410" w:type="dxa"/>
            <w:vMerge w:val="restart"/>
          </w:tcPr>
          <w:p w:rsidR="00896F57" w:rsidRPr="0033621C" w:rsidRDefault="00896F57" w:rsidP="00167F06">
            <w:pPr>
              <w:rPr>
                <w:rFonts w:ascii="Times New Roman" w:hAnsi="Times New Roman" w:cs="Times New Roman"/>
              </w:rPr>
            </w:pPr>
            <w:r>
              <w:rPr>
                <w:rFonts w:ascii="Times New Roman" w:hAnsi="Times New Roman" w:cs="Times New Roman"/>
              </w:rPr>
              <w:t>Intervento dell’Organo di controllo interno</w:t>
            </w:r>
          </w:p>
          <w:p w:rsidR="00896F57" w:rsidRDefault="00896F57" w:rsidP="00167F06">
            <w:pPr>
              <w:rPr>
                <w:rFonts w:ascii="Times New Roman" w:hAnsi="Times New Roman" w:cs="Times New Roman"/>
                <w:b/>
              </w:rPr>
            </w:pPr>
          </w:p>
          <w:p w:rsidR="00896F57" w:rsidRDefault="00896F57" w:rsidP="00167F06">
            <w:pPr>
              <w:rPr>
                <w:rFonts w:ascii="Times New Roman" w:hAnsi="Times New Roman" w:cs="Times New Roman"/>
                <w:b/>
              </w:rPr>
            </w:pPr>
            <w:r>
              <w:rPr>
                <w:rFonts w:ascii="Times New Roman" w:hAnsi="Times New Roman" w:cs="Times New Roman"/>
                <w:b/>
              </w:rPr>
              <w:t>Allegazione della Certificazione dell’Organo di Controllo interno alla Relazione illustrativa</w:t>
            </w:r>
          </w:p>
          <w:p w:rsidR="00896F57" w:rsidRDefault="00896F57" w:rsidP="00167F06">
            <w:pPr>
              <w:rPr>
                <w:rFonts w:ascii="Times New Roman" w:hAnsi="Times New Roman" w:cs="Times New Roman"/>
                <w:b/>
              </w:rPr>
            </w:pPr>
          </w:p>
        </w:tc>
        <w:tc>
          <w:tcPr>
            <w:tcW w:w="4850" w:type="dxa"/>
          </w:tcPr>
          <w:p w:rsidR="00896F57" w:rsidRPr="00896F57" w:rsidRDefault="00896F57" w:rsidP="00262451">
            <w:pPr>
              <w:jc w:val="both"/>
              <w:rPr>
                <w:rFonts w:ascii="Times New Roman" w:hAnsi="Times New Roman" w:cs="Times New Roman"/>
                <w:b/>
                <w:sz w:val="20"/>
                <w:szCs w:val="20"/>
              </w:rPr>
            </w:pPr>
          </w:p>
          <w:p w:rsidR="00896F57" w:rsidRPr="00896F57" w:rsidRDefault="00896F57" w:rsidP="00DF1B35">
            <w:pPr>
              <w:jc w:val="both"/>
              <w:rPr>
                <w:rFonts w:ascii="Times New Roman" w:hAnsi="Times New Roman" w:cs="Times New Roman"/>
                <w:sz w:val="20"/>
                <w:szCs w:val="20"/>
              </w:rPr>
            </w:pPr>
            <w:r w:rsidRPr="00896F57">
              <w:rPr>
                <w:rFonts w:ascii="Times New Roman" w:hAnsi="Times New Roman" w:cs="Times New Roman"/>
                <w:sz w:val="20"/>
                <w:szCs w:val="20"/>
              </w:rPr>
              <w:t xml:space="preserve">Certificazione come da verbale del Collegio dei revisori </w:t>
            </w:r>
            <w:proofErr w:type="spellStart"/>
            <w:r w:rsidR="00DF1B35">
              <w:rPr>
                <w:rFonts w:ascii="Times New Roman" w:hAnsi="Times New Roman" w:cs="Times New Roman"/>
                <w:sz w:val="20"/>
                <w:szCs w:val="20"/>
              </w:rPr>
              <w:t>prot</w:t>
            </w:r>
            <w:proofErr w:type="spellEnd"/>
            <w:r w:rsidR="00DF1B35">
              <w:rPr>
                <w:rFonts w:ascii="Times New Roman" w:hAnsi="Times New Roman" w:cs="Times New Roman"/>
                <w:sz w:val="20"/>
                <w:szCs w:val="20"/>
              </w:rPr>
              <w:t>. n</w:t>
            </w:r>
            <w:r w:rsidRPr="00896F57">
              <w:rPr>
                <w:rFonts w:ascii="Times New Roman" w:hAnsi="Times New Roman" w:cs="Times New Roman"/>
                <w:sz w:val="20"/>
                <w:szCs w:val="20"/>
              </w:rPr>
              <w:t>.</w:t>
            </w:r>
            <w:r w:rsidR="00DF1B35">
              <w:rPr>
                <w:rFonts w:ascii="Times New Roman" w:hAnsi="Times New Roman" w:cs="Times New Roman"/>
                <w:sz w:val="20"/>
                <w:szCs w:val="20"/>
              </w:rPr>
              <w:t>0007938 del 17/04/2015</w:t>
            </w:r>
            <w:r w:rsidR="004D5679">
              <w:rPr>
                <w:rFonts w:ascii="Times New Roman" w:hAnsi="Times New Roman" w:cs="Times New Roman"/>
                <w:sz w:val="20"/>
                <w:szCs w:val="20"/>
              </w:rPr>
              <w:t xml:space="preserve"> </w:t>
            </w:r>
          </w:p>
        </w:tc>
      </w:tr>
      <w:tr w:rsidR="00896F57" w:rsidTr="0033621C">
        <w:trPr>
          <w:trHeight w:val="951"/>
        </w:trPr>
        <w:tc>
          <w:tcPr>
            <w:tcW w:w="2518" w:type="dxa"/>
            <w:vMerge/>
            <w:textDirection w:val="btLr"/>
          </w:tcPr>
          <w:p w:rsidR="00896F57" w:rsidRDefault="00896F57" w:rsidP="0033621C">
            <w:pPr>
              <w:ind w:left="113" w:right="113"/>
              <w:rPr>
                <w:rFonts w:ascii="Times New Roman" w:hAnsi="Times New Roman" w:cs="Times New Roman"/>
                <w:b/>
              </w:rPr>
            </w:pPr>
          </w:p>
        </w:tc>
        <w:tc>
          <w:tcPr>
            <w:tcW w:w="2410" w:type="dxa"/>
            <w:vMerge/>
          </w:tcPr>
          <w:p w:rsidR="00896F57" w:rsidRDefault="00896F57" w:rsidP="00167F06">
            <w:pPr>
              <w:rPr>
                <w:rFonts w:ascii="Times New Roman" w:hAnsi="Times New Roman" w:cs="Times New Roman"/>
              </w:rPr>
            </w:pPr>
          </w:p>
        </w:tc>
        <w:tc>
          <w:tcPr>
            <w:tcW w:w="4850" w:type="dxa"/>
          </w:tcPr>
          <w:p w:rsidR="00896F57" w:rsidRPr="00896F57" w:rsidRDefault="00896F57" w:rsidP="00167F06">
            <w:pPr>
              <w:rPr>
                <w:rFonts w:ascii="Times New Roman" w:hAnsi="Times New Roman" w:cs="Times New Roman"/>
                <w:b/>
                <w:sz w:val="20"/>
                <w:szCs w:val="20"/>
              </w:rPr>
            </w:pPr>
          </w:p>
          <w:p w:rsidR="00896F57" w:rsidRPr="00896F57" w:rsidRDefault="00474439" w:rsidP="00167F06">
            <w:pPr>
              <w:rPr>
                <w:rFonts w:ascii="Times New Roman" w:hAnsi="Times New Roman" w:cs="Times New Roman"/>
                <w:sz w:val="20"/>
                <w:szCs w:val="20"/>
              </w:rPr>
            </w:pPr>
            <w:r>
              <w:rPr>
                <w:rFonts w:ascii="Times New Roman" w:hAnsi="Times New Roman" w:cs="Times New Roman"/>
                <w:sz w:val="20"/>
                <w:szCs w:val="20"/>
              </w:rPr>
              <w:t>Parere favorevole</w:t>
            </w:r>
          </w:p>
        </w:tc>
      </w:tr>
      <w:tr w:rsidR="00896F57" w:rsidTr="00896F57">
        <w:trPr>
          <w:trHeight w:val="424"/>
        </w:trPr>
        <w:tc>
          <w:tcPr>
            <w:tcW w:w="2518" w:type="dxa"/>
            <w:vMerge/>
          </w:tcPr>
          <w:p w:rsidR="00896F57" w:rsidRDefault="00896F57" w:rsidP="00167F06">
            <w:pPr>
              <w:rPr>
                <w:rFonts w:ascii="Times New Roman" w:hAnsi="Times New Roman" w:cs="Times New Roman"/>
                <w:b/>
              </w:rPr>
            </w:pPr>
          </w:p>
        </w:tc>
        <w:tc>
          <w:tcPr>
            <w:tcW w:w="2410" w:type="dxa"/>
            <w:vMerge w:val="restart"/>
          </w:tcPr>
          <w:p w:rsidR="00896F57" w:rsidRDefault="00896F57" w:rsidP="00167F06">
            <w:pPr>
              <w:rPr>
                <w:rFonts w:ascii="Times New Roman" w:hAnsi="Times New Roman" w:cs="Times New Roman"/>
                <w:b/>
              </w:rPr>
            </w:pPr>
            <w:r>
              <w:rPr>
                <w:rFonts w:ascii="Times New Roman" w:hAnsi="Times New Roman" w:cs="Times New Roman"/>
                <w:b/>
              </w:rPr>
              <w:t>Attestazione del rispetto degli obblighi di legge che in caso di inadempimento comportano la sanzione del divieto di erogazione della retribuzione accessoria</w:t>
            </w:r>
          </w:p>
        </w:tc>
        <w:tc>
          <w:tcPr>
            <w:tcW w:w="4850" w:type="dxa"/>
          </w:tcPr>
          <w:p w:rsidR="00896F57" w:rsidRPr="00896F57" w:rsidRDefault="00896F57" w:rsidP="000C6870">
            <w:pPr>
              <w:jc w:val="both"/>
              <w:rPr>
                <w:rFonts w:ascii="Times New Roman" w:hAnsi="Times New Roman" w:cs="Times New Roman"/>
                <w:sz w:val="20"/>
                <w:szCs w:val="20"/>
              </w:rPr>
            </w:pPr>
            <w:r w:rsidRPr="00896F57">
              <w:rPr>
                <w:rFonts w:ascii="Times New Roman" w:hAnsi="Times New Roman" w:cs="Times New Roman"/>
                <w:sz w:val="20"/>
                <w:szCs w:val="20"/>
              </w:rPr>
              <w:t xml:space="preserve">Il Piano </w:t>
            </w:r>
            <w:r w:rsidR="003F3798">
              <w:rPr>
                <w:rFonts w:ascii="Times New Roman" w:hAnsi="Times New Roman" w:cs="Times New Roman"/>
                <w:sz w:val="20"/>
                <w:szCs w:val="20"/>
              </w:rPr>
              <w:t>della performance 2014-2016</w:t>
            </w:r>
            <w:r>
              <w:rPr>
                <w:rFonts w:ascii="Times New Roman" w:hAnsi="Times New Roman" w:cs="Times New Roman"/>
                <w:sz w:val="20"/>
                <w:szCs w:val="20"/>
              </w:rPr>
              <w:t xml:space="preserve">, previsto dall’art.10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 è stato approvato con</w:t>
            </w:r>
            <w:r w:rsidR="00404680" w:rsidRPr="00404680">
              <w:rPr>
                <w:rFonts w:ascii="Times New Roman" w:hAnsi="Times New Roman" w:cs="Times New Roman"/>
                <w:b/>
                <w:sz w:val="20"/>
                <w:szCs w:val="20"/>
              </w:rPr>
              <w:t xml:space="preserve"> </w:t>
            </w:r>
            <w:r w:rsidR="00404680" w:rsidRPr="00404680">
              <w:rPr>
                <w:rFonts w:ascii="Times New Roman" w:hAnsi="Times New Roman" w:cs="Times New Roman"/>
                <w:sz w:val="20"/>
                <w:szCs w:val="20"/>
              </w:rPr>
              <w:t xml:space="preserve">Determinazione d’Urgenza </w:t>
            </w:r>
            <w:r w:rsidR="003F3798">
              <w:rPr>
                <w:rFonts w:ascii="Times New Roman" w:hAnsi="Times New Roman" w:cs="Times New Roman"/>
                <w:sz w:val="20"/>
                <w:szCs w:val="20"/>
              </w:rPr>
              <w:t>n.2 del 4/02/2014</w:t>
            </w:r>
            <w:r w:rsidR="00404680" w:rsidRPr="00404680">
              <w:rPr>
                <w:rFonts w:ascii="Times New Roman" w:hAnsi="Times New Roman" w:cs="Times New Roman"/>
                <w:sz w:val="20"/>
                <w:szCs w:val="20"/>
              </w:rPr>
              <w:t>, ratifi</w:t>
            </w:r>
            <w:r w:rsidR="003F3798">
              <w:rPr>
                <w:rFonts w:ascii="Times New Roman" w:hAnsi="Times New Roman" w:cs="Times New Roman"/>
                <w:sz w:val="20"/>
                <w:szCs w:val="20"/>
              </w:rPr>
              <w:t>cata con delibera di Giunta n.20 del 26/02</w:t>
            </w:r>
            <w:r w:rsidR="00404680" w:rsidRPr="00404680">
              <w:rPr>
                <w:rFonts w:ascii="Times New Roman" w:hAnsi="Times New Roman" w:cs="Times New Roman"/>
                <w:sz w:val="20"/>
                <w:szCs w:val="20"/>
              </w:rPr>
              <w:t>/201</w:t>
            </w:r>
            <w:r w:rsidR="003F3798">
              <w:rPr>
                <w:rFonts w:ascii="Times New Roman" w:hAnsi="Times New Roman" w:cs="Times New Roman"/>
                <w:sz w:val="20"/>
                <w:szCs w:val="20"/>
              </w:rPr>
              <w:t>4</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0C6870">
            <w:pPr>
              <w:jc w:val="both"/>
              <w:rPr>
                <w:rFonts w:ascii="Times New Roman" w:hAnsi="Times New Roman" w:cs="Times New Roman"/>
                <w:sz w:val="20"/>
                <w:szCs w:val="20"/>
              </w:rPr>
            </w:pPr>
            <w:r>
              <w:rPr>
                <w:rFonts w:ascii="Times New Roman" w:hAnsi="Times New Roman" w:cs="Times New Roman"/>
                <w:sz w:val="20"/>
                <w:szCs w:val="20"/>
              </w:rPr>
              <w:t xml:space="preserve">E’ stato adottato il Piano triennale per la trasparenza e l’integrità previsto dall’art. 11, comma 2,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 con deliberazione n.4  del 28/01/2014</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0C6870">
            <w:pPr>
              <w:jc w:val="both"/>
              <w:rPr>
                <w:rFonts w:ascii="Times New Roman" w:hAnsi="Times New Roman" w:cs="Times New Roman"/>
                <w:sz w:val="20"/>
                <w:szCs w:val="20"/>
              </w:rPr>
            </w:pPr>
            <w:r>
              <w:rPr>
                <w:rFonts w:ascii="Times New Roman" w:hAnsi="Times New Roman" w:cs="Times New Roman"/>
                <w:sz w:val="20"/>
                <w:szCs w:val="20"/>
              </w:rPr>
              <w:t xml:space="preserve">E’ stato assolto l’obbligo di pubblicazione di cui ai commi 6 e 8 dell’art.11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404680">
            <w:pPr>
              <w:rPr>
                <w:rFonts w:ascii="Times New Roman" w:hAnsi="Times New Roman" w:cs="Times New Roman"/>
                <w:sz w:val="20"/>
                <w:szCs w:val="20"/>
              </w:rPr>
            </w:pPr>
            <w:r>
              <w:rPr>
                <w:rFonts w:ascii="Times New Roman" w:hAnsi="Times New Roman" w:cs="Times New Roman"/>
                <w:sz w:val="20"/>
                <w:szCs w:val="20"/>
              </w:rPr>
              <w:t>La Relazione sulla Pe</w:t>
            </w:r>
            <w:r w:rsidR="009236ED">
              <w:rPr>
                <w:rFonts w:ascii="Times New Roman" w:hAnsi="Times New Roman" w:cs="Times New Roman"/>
                <w:sz w:val="20"/>
                <w:szCs w:val="20"/>
              </w:rPr>
              <w:t>rformance relativa all’anno 2014 è in fase di  approvazione.</w:t>
            </w:r>
          </w:p>
        </w:tc>
      </w:tr>
    </w:tbl>
    <w:p w:rsidR="00167F06" w:rsidRDefault="00167F06" w:rsidP="00167F06">
      <w:pPr>
        <w:rPr>
          <w:rFonts w:ascii="Times New Roman" w:hAnsi="Times New Roman" w:cs="Times New Roman"/>
          <w:b/>
        </w:rPr>
      </w:pPr>
    </w:p>
    <w:p w:rsidR="00404680" w:rsidRDefault="00404680" w:rsidP="00167F06">
      <w:pPr>
        <w:rPr>
          <w:rFonts w:ascii="Times New Roman" w:hAnsi="Times New Roman" w:cs="Times New Roman"/>
          <w:b/>
        </w:rPr>
      </w:pPr>
      <w:r>
        <w:rPr>
          <w:rFonts w:ascii="Times New Roman" w:hAnsi="Times New Roman" w:cs="Times New Roman"/>
          <w:b/>
        </w:rPr>
        <w:t xml:space="preserve">Modulo II </w:t>
      </w:r>
      <w:r w:rsidR="00E50C9F">
        <w:rPr>
          <w:rFonts w:ascii="Times New Roman" w:hAnsi="Times New Roman" w:cs="Times New Roman"/>
          <w:b/>
        </w:rPr>
        <w:t>– Illustrazione dell’articolato del contratto</w:t>
      </w:r>
    </w:p>
    <w:p w:rsidR="00E50C9F" w:rsidRDefault="00E50C9F" w:rsidP="00167F06">
      <w:pPr>
        <w:rPr>
          <w:rFonts w:ascii="Times New Roman" w:hAnsi="Times New Roman" w:cs="Times New Roman"/>
          <w:b/>
        </w:rPr>
      </w:pPr>
      <w:r>
        <w:rPr>
          <w:rFonts w:ascii="Times New Roman" w:hAnsi="Times New Roman" w:cs="Times New Roman"/>
          <w:b/>
        </w:rPr>
        <w:t>Si riportano qui di seguito i criteri di utilizzo delle risorse stabili e variabili disciplinati nel CCDI.</w:t>
      </w:r>
    </w:p>
    <w:p w:rsidR="00E50C9F" w:rsidRDefault="00E50C9F" w:rsidP="00E50C9F">
      <w:pPr>
        <w:pStyle w:val="Paragrafoelenco"/>
        <w:numPr>
          <w:ilvl w:val="0"/>
          <w:numId w:val="1"/>
        </w:numPr>
        <w:rPr>
          <w:rFonts w:ascii="Times New Roman" w:hAnsi="Times New Roman" w:cs="Times New Roman"/>
          <w:b/>
        </w:rPr>
      </w:pPr>
      <w:r w:rsidRPr="00865529">
        <w:rPr>
          <w:rFonts w:ascii="Times New Roman" w:hAnsi="Times New Roman" w:cs="Times New Roman"/>
          <w:b/>
        </w:rPr>
        <w:t>UTILIZZO RISORSE STABILI</w:t>
      </w:r>
    </w:p>
    <w:p w:rsidR="00262451" w:rsidRPr="00865529" w:rsidRDefault="00262451" w:rsidP="00E50C9F">
      <w:pPr>
        <w:pStyle w:val="Paragrafoelenco"/>
        <w:numPr>
          <w:ilvl w:val="0"/>
          <w:numId w:val="1"/>
        </w:numPr>
        <w:rPr>
          <w:rFonts w:ascii="Times New Roman" w:hAnsi="Times New Roman" w:cs="Times New Roman"/>
          <w:b/>
        </w:rPr>
      </w:pPr>
    </w:p>
    <w:p w:rsidR="00E50C9F" w:rsidRPr="00865529" w:rsidRDefault="00E50C9F" w:rsidP="00E50C9F">
      <w:pPr>
        <w:pStyle w:val="Paragrafoelenco"/>
        <w:numPr>
          <w:ilvl w:val="0"/>
          <w:numId w:val="2"/>
        </w:numPr>
        <w:rPr>
          <w:rFonts w:ascii="Times New Roman" w:hAnsi="Times New Roman" w:cs="Times New Roman"/>
          <w:b/>
        </w:rPr>
      </w:pPr>
      <w:r w:rsidRPr="00865529">
        <w:rPr>
          <w:rFonts w:ascii="Times New Roman" w:hAnsi="Times New Roman" w:cs="Times New Roman"/>
          <w:b/>
        </w:rPr>
        <w:t>Progressioni economiche</w:t>
      </w:r>
    </w:p>
    <w:p w:rsidR="00865529" w:rsidRPr="00865529" w:rsidRDefault="00E31512" w:rsidP="00E31512">
      <w:pPr>
        <w:ind w:left="993" w:hanging="2124"/>
        <w:jc w:val="both"/>
        <w:rPr>
          <w:rFonts w:ascii="Times New Roman" w:hAnsi="Times New Roman" w:cs="Times New Roman"/>
        </w:rPr>
      </w:pPr>
      <w:r w:rsidRPr="00865529">
        <w:rPr>
          <w:rFonts w:ascii="Times New Roman" w:hAnsi="Times New Roman" w:cs="Times New Roman"/>
        </w:rPr>
        <w:tab/>
      </w:r>
      <w:r w:rsidR="00E50C9F" w:rsidRPr="00865529">
        <w:rPr>
          <w:rFonts w:ascii="Times New Roman" w:hAnsi="Times New Roman" w:cs="Times New Roman"/>
        </w:rPr>
        <w:t xml:space="preserve">L’art.5 del CCNL 31.3.1999, dispone che, all’interno di ciascuna categoria, è prevista una progressione economica che si realizza mediante la previsione, dopo il trattamento tabellare iniziale, di successivi incrementi economici e che la stessa si realizza nel limite delle risorse stabili disponibili  nel fondo </w:t>
      </w:r>
      <w:r w:rsidRPr="00865529">
        <w:rPr>
          <w:rFonts w:ascii="Times New Roman" w:hAnsi="Times New Roman" w:cs="Times New Roman"/>
        </w:rPr>
        <w:t xml:space="preserve">e dei previsti criteri. </w:t>
      </w:r>
    </w:p>
    <w:p w:rsidR="000C6870" w:rsidRDefault="000C6870" w:rsidP="00E31512">
      <w:pPr>
        <w:ind w:left="993" w:hanging="2124"/>
        <w:jc w:val="both"/>
        <w:rPr>
          <w:rFonts w:ascii="Times New Roman" w:hAnsi="Times New Roman" w:cs="Times New Roman"/>
        </w:rPr>
      </w:pPr>
    </w:p>
    <w:p w:rsidR="00865529" w:rsidRPr="00865529" w:rsidRDefault="00865529" w:rsidP="00E31512">
      <w:pPr>
        <w:ind w:left="993" w:hanging="2124"/>
        <w:jc w:val="both"/>
        <w:rPr>
          <w:rFonts w:ascii="Times New Roman" w:hAnsi="Times New Roman" w:cs="Times New Roman"/>
        </w:rPr>
      </w:pPr>
      <w:r w:rsidRPr="00865529">
        <w:rPr>
          <w:rFonts w:ascii="Times New Roman" w:hAnsi="Times New Roman" w:cs="Times New Roman"/>
        </w:rPr>
        <w:tab/>
      </w:r>
      <w:r w:rsidR="00E31512" w:rsidRPr="00865529">
        <w:rPr>
          <w:rFonts w:ascii="Times New Roman" w:hAnsi="Times New Roman" w:cs="Times New Roman"/>
        </w:rPr>
        <w:t xml:space="preserve">Il successivo art. 23 –Progressioni economiche- del  </w:t>
      </w:r>
      <w:proofErr w:type="spellStart"/>
      <w:r w:rsidR="00E31512" w:rsidRPr="00865529">
        <w:rPr>
          <w:rFonts w:ascii="Times New Roman" w:hAnsi="Times New Roman" w:cs="Times New Roman"/>
        </w:rPr>
        <w:t>D.Lgs.</w:t>
      </w:r>
      <w:proofErr w:type="spellEnd"/>
      <w:r w:rsidR="00E31512" w:rsidRPr="00865529">
        <w:rPr>
          <w:rFonts w:ascii="Times New Roman" w:hAnsi="Times New Roman" w:cs="Times New Roman"/>
        </w:rPr>
        <w:t xml:space="preserve"> 150/2009  stabilisce che le stesse sono attribuite in modo selettivo, ad una quota limitata di dipendenti, in relazione allo sviluppo delle competenze professionali ed ai risultati individuali e collettivi rilevati dal sistema di valutazione e che la collocazione nella fascia di merito alta, ai sensi dell’art. 19, comma 2 dello stesso decreto, costituisce titolo prioritario ai fini dell’attribuzione delle progressioni economiche.</w:t>
      </w:r>
      <w:r w:rsidRPr="00865529">
        <w:rPr>
          <w:rFonts w:ascii="Times New Roman" w:hAnsi="Times New Roman" w:cs="Times New Roman"/>
        </w:rPr>
        <w:t xml:space="preserve"> </w:t>
      </w:r>
    </w:p>
    <w:p w:rsidR="00E31512" w:rsidRDefault="00865529" w:rsidP="00E31512">
      <w:pPr>
        <w:ind w:left="993" w:hanging="2124"/>
        <w:jc w:val="both"/>
        <w:rPr>
          <w:rFonts w:ascii="Times New Roman" w:hAnsi="Times New Roman" w:cs="Times New Roman"/>
        </w:rPr>
      </w:pPr>
      <w:r w:rsidRPr="00865529">
        <w:rPr>
          <w:rFonts w:ascii="Times New Roman" w:hAnsi="Times New Roman" w:cs="Times New Roman"/>
        </w:rPr>
        <w:tab/>
        <w:t xml:space="preserve">Il comma 21 dell’art.9  del D.L. 31 maggio 2010, n. 78 convertito, con modificazioni, nella L. 30 luglio 2010, n.122 recante “Misure urgenti in materia di stabilizzazione finanziaria e di competitività economica”  prevede che le progressioni di carriera comunque denominate ed i passaggi tra le aree del personale </w:t>
      </w:r>
      <w:proofErr w:type="spellStart"/>
      <w:r w:rsidRPr="00865529">
        <w:rPr>
          <w:rFonts w:ascii="Times New Roman" w:hAnsi="Times New Roman" w:cs="Times New Roman"/>
        </w:rPr>
        <w:t>contrattualizzato</w:t>
      </w:r>
      <w:proofErr w:type="spellEnd"/>
      <w:r w:rsidRPr="00865529">
        <w:rPr>
          <w:rFonts w:ascii="Times New Roman" w:hAnsi="Times New Roman" w:cs="Times New Roman"/>
        </w:rPr>
        <w:t xml:space="preserve"> disposte per gli anni 2011, 2012 e 2013 abbiano effetto, per i predetti anni, ai soli fini giuridici .; la circolare n. 12 del 15 aprile 2011 del Ministero dell’Economia e delle Finanze ha chiarito che  l’espressione “progressioni di carriera comunque denominate”, è da intendersi anche ai passaggi all’intern</w:t>
      </w:r>
      <w:r>
        <w:rPr>
          <w:rFonts w:ascii="Times New Roman" w:hAnsi="Times New Roman" w:cs="Times New Roman"/>
        </w:rPr>
        <w:t>o delle categorie.</w:t>
      </w:r>
    </w:p>
    <w:p w:rsidR="00865529" w:rsidRPr="00865529" w:rsidRDefault="00865529" w:rsidP="00E31512">
      <w:pPr>
        <w:ind w:left="993" w:hanging="2124"/>
        <w:jc w:val="both"/>
        <w:rPr>
          <w:rFonts w:ascii="Times New Roman" w:hAnsi="Times New Roman" w:cs="Times New Roman"/>
          <w:b/>
        </w:rPr>
      </w:pPr>
      <w:r>
        <w:rPr>
          <w:rFonts w:ascii="Times New Roman" w:hAnsi="Times New Roman" w:cs="Times New Roman"/>
        </w:rPr>
        <w:tab/>
      </w:r>
      <w:r w:rsidRPr="00865529">
        <w:rPr>
          <w:rFonts w:ascii="Times New Roman" w:hAnsi="Times New Roman" w:cs="Times New Roman"/>
          <w:b/>
        </w:rPr>
        <w:t>UTILIZZO RISORSE VARIABILI</w:t>
      </w:r>
    </w:p>
    <w:p w:rsidR="00E31512" w:rsidRDefault="00865529" w:rsidP="0075111A">
      <w:pPr>
        <w:pStyle w:val="Paragrafoelenco"/>
        <w:numPr>
          <w:ilvl w:val="0"/>
          <w:numId w:val="3"/>
        </w:numPr>
        <w:ind w:firstLine="54"/>
        <w:jc w:val="both"/>
        <w:rPr>
          <w:rFonts w:ascii="Times New Roman" w:hAnsi="Times New Roman" w:cs="Times New Roman"/>
          <w:b/>
        </w:rPr>
      </w:pPr>
      <w:r>
        <w:rPr>
          <w:rFonts w:ascii="Times New Roman" w:hAnsi="Times New Roman" w:cs="Times New Roman"/>
          <w:b/>
        </w:rPr>
        <w:t>Utilizzo delle risorse variabili per il finanziamento della produttività ed il miglioramento dei servizi (art. 17 comma 2 lettera a) così come modificato dall’art. 36 del CCNL 22.01.2004)</w:t>
      </w:r>
    </w:p>
    <w:p w:rsidR="0075111A" w:rsidRPr="0075111A" w:rsidRDefault="0075111A" w:rsidP="00262451">
      <w:pPr>
        <w:pStyle w:val="Paragrafoelenco"/>
        <w:ind w:left="1134"/>
        <w:jc w:val="both"/>
        <w:rPr>
          <w:rFonts w:ascii="Times New Roman" w:hAnsi="Times New Roman" w:cs="Times New Roman"/>
        </w:rPr>
      </w:pPr>
      <w:r>
        <w:rPr>
          <w:rFonts w:ascii="Times New Roman" w:hAnsi="Times New Roman" w:cs="Times New Roman"/>
        </w:rPr>
        <w:t xml:space="preserve">L’attribuzione dei compensi di produttività è strettamente correlata ad effettivi incrementi di produttività e di miglioramento </w:t>
      </w:r>
      <w:proofErr w:type="spellStart"/>
      <w:r>
        <w:rPr>
          <w:rFonts w:ascii="Times New Roman" w:hAnsi="Times New Roman" w:cs="Times New Roman"/>
        </w:rPr>
        <w:t>quali-quantitativo</w:t>
      </w:r>
      <w:proofErr w:type="spellEnd"/>
      <w:r>
        <w:rPr>
          <w:rFonts w:ascii="Times New Roman" w:hAnsi="Times New Roman" w:cs="Times New Roman"/>
        </w:rPr>
        <w:t xml:space="preserve"> dei servizi da intendersi come risultato aggiuntivo apprezzabile rispetto al risultato atteso dalla normale prestazione lavorativa. I compensi destinati a incentivare la produttività ed il miglioramento dei servizi sono corrisposti ai lavoratori interessati, a conclusione del processo di valutazione delle prestazioni e dei risultati.</w:t>
      </w:r>
    </w:p>
    <w:p w:rsidR="0075111A" w:rsidRDefault="0075111A" w:rsidP="00262451">
      <w:pPr>
        <w:pStyle w:val="Paragrafoelenco"/>
        <w:spacing w:after="0" w:line="240" w:lineRule="auto"/>
        <w:ind w:left="1134"/>
        <w:jc w:val="both"/>
        <w:rPr>
          <w:rFonts w:ascii="Times New Roman" w:hAnsi="Times New Roman" w:cs="Times New Roman"/>
        </w:rPr>
      </w:pPr>
      <w:r>
        <w:rPr>
          <w:rFonts w:ascii="Times New Roman" w:hAnsi="Times New Roman" w:cs="Times New Roman"/>
        </w:rPr>
        <w:tab/>
      </w:r>
      <w:r w:rsidRPr="0075111A">
        <w:rPr>
          <w:rFonts w:ascii="Times New Roman" w:hAnsi="Times New Roman" w:cs="Times New Roman"/>
        </w:rPr>
        <w:t>La valutazione delle prestazioni e dei risultati viene effettuata dai competenti dirigenti, che si avvale dei Responsabili di Servizio e/o titolari di Posizione Organizzativa nel rispetto dei criteri definiti dal sistema di valutazione</w:t>
      </w:r>
      <w:r>
        <w:rPr>
          <w:rFonts w:ascii="Times New Roman" w:hAnsi="Times New Roman" w:cs="Times New Roman"/>
        </w:rPr>
        <w:t xml:space="preserve"> vigente.</w:t>
      </w:r>
    </w:p>
    <w:p w:rsidR="0075111A" w:rsidRDefault="0075111A" w:rsidP="0075111A">
      <w:pPr>
        <w:pStyle w:val="Paragrafoelenco"/>
        <w:spacing w:after="0" w:line="240" w:lineRule="auto"/>
        <w:ind w:left="993" w:firstLine="54"/>
        <w:jc w:val="both"/>
        <w:rPr>
          <w:rFonts w:ascii="Times New Roman" w:hAnsi="Times New Roman" w:cs="Times New Roman"/>
        </w:rPr>
      </w:pPr>
    </w:p>
    <w:p w:rsidR="0075111A" w:rsidRPr="0075111A" w:rsidRDefault="0075111A" w:rsidP="0075111A">
      <w:pPr>
        <w:pStyle w:val="Paragrafoelenco"/>
        <w:spacing w:after="0" w:line="240" w:lineRule="auto"/>
        <w:ind w:left="993" w:firstLine="54"/>
        <w:jc w:val="both"/>
        <w:rPr>
          <w:rFonts w:ascii="Times New Roman" w:hAnsi="Times New Roman" w:cs="Times New Roman"/>
        </w:rPr>
      </w:pPr>
    </w:p>
    <w:p w:rsidR="00E31512" w:rsidRDefault="00374FE9" w:rsidP="00374FE9">
      <w:pPr>
        <w:pStyle w:val="Paragrafoelenco"/>
        <w:ind w:left="1080"/>
        <w:jc w:val="both"/>
        <w:rPr>
          <w:rFonts w:ascii="Times New Roman" w:hAnsi="Times New Roman" w:cs="Times New Roman"/>
          <w:b/>
        </w:rPr>
      </w:pPr>
      <w:r>
        <w:rPr>
          <w:rFonts w:ascii="Times New Roman" w:hAnsi="Times New Roman" w:cs="Times New Roman"/>
          <w:b/>
        </w:rPr>
        <w:t>2)</w:t>
      </w:r>
      <w:r w:rsidR="007C74F3">
        <w:rPr>
          <w:rFonts w:ascii="Times New Roman" w:hAnsi="Times New Roman" w:cs="Times New Roman"/>
          <w:b/>
        </w:rPr>
        <w:t>Utilizzo delle risorse variabili per la remunerazione di indennità maneggio valori e disagio</w:t>
      </w:r>
    </w:p>
    <w:p w:rsidR="007C74F3" w:rsidRPr="007C74F3" w:rsidRDefault="007C74F3" w:rsidP="007C74F3">
      <w:pPr>
        <w:pStyle w:val="Paragrafoelenco"/>
        <w:ind w:left="1080"/>
        <w:jc w:val="both"/>
        <w:rPr>
          <w:rFonts w:ascii="Times New Roman" w:hAnsi="Times New Roman" w:cs="Times New Roman"/>
        </w:rPr>
      </w:pPr>
      <w:r>
        <w:rPr>
          <w:rFonts w:ascii="Times New Roman" w:hAnsi="Times New Roman" w:cs="Times New Roman"/>
        </w:rPr>
        <w:t>In applicazione dell’art.17 , comma 2, lett. d), ed  e) del CCNL 1.04.1999 sono riconosciute le seguenti indennità:</w:t>
      </w:r>
    </w:p>
    <w:p w:rsidR="00550A00" w:rsidRDefault="007C74F3" w:rsidP="00550A00">
      <w:pPr>
        <w:pStyle w:val="Paragrafoelenco"/>
        <w:ind w:left="1080"/>
        <w:rPr>
          <w:rFonts w:ascii="Times New Roman" w:hAnsi="Times New Roman" w:cs="Times New Roman"/>
        </w:rPr>
      </w:pPr>
      <w:r>
        <w:rPr>
          <w:rFonts w:ascii="Times New Roman" w:hAnsi="Times New Roman" w:cs="Times New Roman"/>
          <w:b/>
        </w:rPr>
        <w:t xml:space="preserve">-Indennità maneggio valori  </w:t>
      </w:r>
      <w:r>
        <w:rPr>
          <w:rFonts w:ascii="Times New Roman" w:hAnsi="Times New Roman" w:cs="Times New Roman"/>
        </w:rPr>
        <w:t>è corrisposta nei giorni di prestazione lavorativa nella misura di</w:t>
      </w:r>
      <w:r>
        <w:rPr>
          <w:rFonts w:ascii="Times New Roman" w:hAnsi="Times New Roman" w:cs="Times New Roman"/>
          <w:sz w:val="28"/>
          <w:szCs w:val="28"/>
        </w:rPr>
        <w:t xml:space="preserve"> </w:t>
      </w:r>
      <w:r w:rsidRPr="007C74F3">
        <w:rPr>
          <w:rFonts w:ascii="Times New Roman" w:hAnsi="Times New Roman" w:cs="Times New Roman"/>
        </w:rPr>
        <w:t xml:space="preserve">€ 1,03 </w:t>
      </w:r>
      <w:r>
        <w:rPr>
          <w:rFonts w:ascii="Times New Roman" w:hAnsi="Times New Roman" w:cs="Times New Roman"/>
        </w:rPr>
        <w:t>al giorno al cassiere o suo sostituto;</w:t>
      </w:r>
    </w:p>
    <w:p w:rsidR="007C74F3" w:rsidRDefault="007C74F3" w:rsidP="00550A00">
      <w:pPr>
        <w:pStyle w:val="Paragrafoelenco"/>
        <w:ind w:left="1080"/>
        <w:jc w:val="both"/>
        <w:rPr>
          <w:rFonts w:ascii="Times New Roman" w:hAnsi="Times New Roman" w:cs="Times New Roman"/>
        </w:rPr>
      </w:pPr>
      <w:r>
        <w:rPr>
          <w:rFonts w:ascii="Times New Roman" w:hAnsi="Times New Roman" w:cs="Times New Roman"/>
          <w:b/>
        </w:rPr>
        <w:t xml:space="preserve">-Indennità </w:t>
      </w:r>
      <w:r w:rsidR="00550A00">
        <w:rPr>
          <w:rFonts w:ascii="Times New Roman" w:hAnsi="Times New Roman" w:cs="Times New Roman"/>
          <w:b/>
        </w:rPr>
        <w:t xml:space="preserve"> disagio  </w:t>
      </w:r>
      <w:r w:rsidR="00550A00" w:rsidRPr="00550A00">
        <w:rPr>
          <w:rFonts w:ascii="Times New Roman" w:hAnsi="Times New Roman" w:cs="Times New Roman"/>
        </w:rPr>
        <w:t>è corrisposta mensilmente al personale categoria A e B indivi</w:t>
      </w:r>
      <w:r w:rsidR="00550A00">
        <w:rPr>
          <w:rFonts w:ascii="Times New Roman" w:hAnsi="Times New Roman" w:cs="Times New Roman"/>
        </w:rPr>
        <w:t>d</w:t>
      </w:r>
      <w:r w:rsidR="00550A00" w:rsidRPr="00550A00">
        <w:rPr>
          <w:rFonts w:ascii="Times New Roman" w:hAnsi="Times New Roman" w:cs="Times New Roman"/>
        </w:rPr>
        <w:t>uato dai Dirigenti   per interventi notturni e festivi  determinata</w:t>
      </w:r>
      <w:r w:rsidR="00550A00">
        <w:rPr>
          <w:rFonts w:ascii="Times New Roman" w:hAnsi="Times New Roman" w:cs="Times New Roman"/>
        </w:rPr>
        <w:t xml:space="preserve"> in </w:t>
      </w:r>
      <w:r w:rsidR="00550A00" w:rsidRPr="00550A00">
        <w:rPr>
          <w:rFonts w:ascii="Times New Roman" w:hAnsi="Times New Roman" w:cs="Times New Roman"/>
        </w:rPr>
        <w:t xml:space="preserve">€ 55,78 </w:t>
      </w:r>
      <w:r w:rsidR="00550A00">
        <w:rPr>
          <w:rFonts w:ascii="Times New Roman" w:hAnsi="Times New Roman" w:cs="Times New Roman"/>
        </w:rPr>
        <w:t>mensile.</w:t>
      </w:r>
    </w:p>
    <w:p w:rsidR="009236ED" w:rsidRPr="009236ED" w:rsidRDefault="009236ED" w:rsidP="00550A00">
      <w:pPr>
        <w:pStyle w:val="Paragrafoelenco"/>
        <w:ind w:left="1080"/>
        <w:jc w:val="both"/>
        <w:rPr>
          <w:rFonts w:ascii="Times New Roman" w:hAnsi="Times New Roman" w:cs="Times New Roman"/>
        </w:rPr>
      </w:pPr>
      <w:r w:rsidRPr="009236ED">
        <w:rPr>
          <w:rFonts w:ascii="Times New Roman" w:hAnsi="Times New Roman" w:cs="Times New Roman"/>
        </w:rPr>
        <w:t>-</w:t>
      </w:r>
      <w:r w:rsidRPr="009236ED">
        <w:rPr>
          <w:rFonts w:ascii="Times New Roman" w:hAnsi="Times New Roman" w:cs="Times New Roman"/>
          <w:b/>
        </w:rPr>
        <w:t>Indennità per attività di conduzione auto camerale</w:t>
      </w:r>
      <w:r w:rsidRPr="009236ED">
        <w:rPr>
          <w:rFonts w:ascii="Times New Roman" w:hAnsi="Times New Roman" w:cs="Times New Roman"/>
        </w:rPr>
        <w:t xml:space="preserve"> (€ 30 x 12) = 360,00</w:t>
      </w:r>
    </w:p>
    <w:p w:rsidR="009236ED" w:rsidRDefault="009236ED" w:rsidP="00374FE9">
      <w:pPr>
        <w:ind w:left="708" w:firstLine="708"/>
        <w:jc w:val="both"/>
        <w:rPr>
          <w:rFonts w:ascii="Times New Roman" w:hAnsi="Times New Roman" w:cs="Times New Roman"/>
        </w:rPr>
      </w:pPr>
      <w:r w:rsidRPr="009236ED">
        <w:rPr>
          <w:rFonts w:ascii="Times New Roman" w:hAnsi="Times New Roman" w:cs="Times New Roman"/>
        </w:rPr>
        <w:t>Al dipendente che svolge la suddetta attività spetta un’indennità per il periodo di effettiva esposizione al rischio, nella misura prevista dall’art.41 del CCNL del 22.01.2004. il relativo importo dovrà essere proporzionalmente ridotto</w:t>
      </w:r>
      <w:r w:rsidRPr="009236ED">
        <w:rPr>
          <w:rFonts w:ascii="Times New Roman" w:hAnsi="Times New Roman" w:cs="Times New Roman"/>
          <w:sz w:val="28"/>
          <w:szCs w:val="28"/>
        </w:rPr>
        <w:t xml:space="preserve"> </w:t>
      </w:r>
      <w:r w:rsidRPr="009236ED">
        <w:rPr>
          <w:rFonts w:ascii="Times New Roman" w:hAnsi="Times New Roman" w:cs="Times New Roman"/>
        </w:rPr>
        <w:t>qualora il dipendente risulti assente (ferie, malattia, permessi, aspettativa).</w:t>
      </w:r>
    </w:p>
    <w:p w:rsidR="00C056FD" w:rsidRPr="0017261A" w:rsidRDefault="003F3798" w:rsidP="0017261A">
      <w:pPr>
        <w:pStyle w:val="Paragrafoelenco"/>
        <w:numPr>
          <w:ilvl w:val="0"/>
          <w:numId w:val="3"/>
        </w:numPr>
        <w:spacing w:after="0" w:line="240" w:lineRule="auto"/>
        <w:jc w:val="both"/>
        <w:rPr>
          <w:rFonts w:ascii="Times New Roman" w:hAnsi="Times New Roman" w:cs="Times New Roman"/>
          <w:i/>
          <w:sz w:val="28"/>
          <w:szCs w:val="28"/>
        </w:rPr>
      </w:pPr>
      <w:r>
        <w:rPr>
          <w:rFonts w:ascii="Times New Roman" w:hAnsi="Times New Roman" w:cs="Times New Roman"/>
          <w:b/>
        </w:rPr>
        <w:t xml:space="preserve">Utilizzo delle risorse variabili per la remunerazione </w:t>
      </w:r>
      <w:r w:rsidR="00C056FD">
        <w:rPr>
          <w:rFonts w:ascii="Times New Roman" w:hAnsi="Times New Roman" w:cs="Times New Roman"/>
          <w:b/>
        </w:rPr>
        <w:t>dei compensi per l’eser</w:t>
      </w:r>
      <w:r w:rsidR="006E18C4">
        <w:rPr>
          <w:rFonts w:ascii="Times New Roman" w:hAnsi="Times New Roman" w:cs="Times New Roman"/>
          <w:b/>
        </w:rPr>
        <w:t xml:space="preserve">cizio di compiti che comportano responsabilità </w:t>
      </w:r>
      <w:r w:rsidR="006E18C4" w:rsidRPr="0017261A">
        <w:rPr>
          <w:rFonts w:ascii="Times New Roman" w:hAnsi="Times New Roman" w:cs="Times New Roman"/>
        </w:rPr>
        <w:t xml:space="preserve">al </w:t>
      </w:r>
      <w:r w:rsidR="00C056FD" w:rsidRPr="0017261A">
        <w:rPr>
          <w:rFonts w:ascii="Times New Roman" w:hAnsi="Times New Roman" w:cs="Times New Roman"/>
        </w:rPr>
        <w:t>personale della categoria C/D: € 5.000</w:t>
      </w:r>
      <w:r w:rsidR="00C056FD" w:rsidRPr="0017261A">
        <w:rPr>
          <w:rFonts w:ascii="Times New Roman" w:hAnsi="Times New Roman" w:cs="Times New Roman"/>
          <w:i/>
          <w:sz w:val="28"/>
          <w:szCs w:val="28"/>
        </w:rPr>
        <w:t>,</w:t>
      </w:r>
      <w:r w:rsidR="00C056FD" w:rsidRPr="0017261A">
        <w:rPr>
          <w:rFonts w:ascii="Times New Roman" w:hAnsi="Times New Roman" w:cs="Times New Roman"/>
        </w:rPr>
        <w:t>00</w:t>
      </w:r>
    </w:p>
    <w:p w:rsidR="00C056FD" w:rsidRPr="0017261A" w:rsidRDefault="00C056FD" w:rsidP="00C056FD">
      <w:pPr>
        <w:pStyle w:val="Paragrafoelenco"/>
        <w:spacing w:after="0" w:line="240" w:lineRule="auto"/>
        <w:jc w:val="both"/>
        <w:rPr>
          <w:rFonts w:ascii="Times New Roman" w:hAnsi="Times New Roman" w:cs="Times New Roman"/>
          <w:i/>
          <w:sz w:val="28"/>
          <w:szCs w:val="28"/>
        </w:rPr>
      </w:pPr>
    </w:p>
    <w:p w:rsidR="00C056FD" w:rsidRPr="0017261A" w:rsidRDefault="00C056FD" w:rsidP="00C056FD">
      <w:pPr>
        <w:pStyle w:val="Paragrafoelenco"/>
        <w:spacing w:after="0" w:line="240" w:lineRule="auto"/>
        <w:jc w:val="both"/>
        <w:rPr>
          <w:rFonts w:ascii="Times New Roman" w:hAnsi="Times New Roman" w:cs="Times New Roman"/>
        </w:rPr>
      </w:pPr>
      <w:r w:rsidRPr="0017261A">
        <w:rPr>
          <w:rFonts w:ascii="Times New Roman" w:hAnsi="Times New Roman" w:cs="Times New Roman"/>
        </w:rPr>
        <w:t>Nell’ambito dell’articolazione organizzativa ed in considerazione delle complesse esigenze funzionali ovvero di specifiche responsabilità e professionalità richieste ed affidate al personale inquadrato nella categoria D non incaricato di posizione organizzativa ed al personale di categoria C, il compenso annuo lordo stabilito dall’art.7 del CCNL 9.05.2006 per la valorizzazione delle “specifiche responsabilità” nella misura massima di € 2.500,00 viene riconosciuto, sulla base degli individuali incarichi comportanti l’assunzione di responsabilità all’esterno e all’interno dell’Ente, negli importi di seguito specificati:</w:t>
      </w:r>
    </w:p>
    <w:p w:rsidR="00C056FD" w:rsidRPr="0017261A" w:rsidRDefault="00C056FD" w:rsidP="00C056FD">
      <w:pPr>
        <w:pStyle w:val="Paragrafoelenco"/>
        <w:numPr>
          <w:ilvl w:val="0"/>
          <w:numId w:val="5"/>
        </w:numPr>
        <w:spacing w:after="0" w:line="240" w:lineRule="auto"/>
        <w:jc w:val="both"/>
        <w:rPr>
          <w:rFonts w:ascii="Times New Roman" w:hAnsi="Times New Roman" w:cs="Times New Roman"/>
        </w:rPr>
      </w:pPr>
      <w:r w:rsidRPr="0017261A">
        <w:rPr>
          <w:rFonts w:ascii="Times New Roman" w:hAnsi="Times New Roman" w:cs="Times New Roman"/>
        </w:rPr>
        <w:t>€ 2.500,00 a</w:t>
      </w:r>
      <w:r w:rsidR="0052054F">
        <w:rPr>
          <w:rFonts w:ascii="Times New Roman" w:hAnsi="Times New Roman" w:cs="Times New Roman"/>
        </w:rPr>
        <w:t>l</w:t>
      </w:r>
      <w:r w:rsidRPr="0017261A">
        <w:rPr>
          <w:rFonts w:ascii="Times New Roman" w:hAnsi="Times New Roman" w:cs="Times New Roman"/>
        </w:rPr>
        <w:t xml:space="preserve"> dipendent</w:t>
      </w:r>
      <w:r w:rsidR="0052054F">
        <w:rPr>
          <w:rFonts w:ascii="Times New Roman" w:hAnsi="Times New Roman" w:cs="Times New Roman"/>
        </w:rPr>
        <w:t>e</w:t>
      </w:r>
      <w:r w:rsidRPr="0017261A">
        <w:rPr>
          <w:rFonts w:ascii="Times New Roman" w:hAnsi="Times New Roman" w:cs="Times New Roman"/>
        </w:rPr>
        <w:t xml:space="preserve"> di categoria D ai quali sia stata assegnata con formale atto documentale la responsabilità dell’Ufficio Metrico</w:t>
      </w:r>
    </w:p>
    <w:p w:rsidR="00C056FD" w:rsidRPr="0017261A" w:rsidRDefault="00C056FD" w:rsidP="00C056FD">
      <w:pPr>
        <w:pStyle w:val="Paragrafoelenco"/>
        <w:numPr>
          <w:ilvl w:val="0"/>
          <w:numId w:val="5"/>
        </w:numPr>
        <w:spacing w:after="0" w:line="240" w:lineRule="auto"/>
        <w:jc w:val="both"/>
        <w:rPr>
          <w:rFonts w:ascii="Times New Roman" w:hAnsi="Times New Roman" w:cs="Times New Roman"/>
        </w:rPr>
      </w:pPr>
      <w:r w:rsidRPr="0017261A">
        <w:rPr>
          <w:rFonts w:ascii="Times New Roman" w:hAnsi="Times New Roman" w:cs="Times New Roman"/>
        </w:rPr>
        <w:t>€ 2.500,0</w:t>
      </w:r>
      <w:r w:rsidR="0052054F">
        <w:rPr>
          <w:rFonts w:ascii="Times New Roman" w:hAnsi="Times New Roman" w:cs="Times New Roman"/>
        </w:rPr>
        <w:t>0 al dipendente di categoria C</w:t>
      </w:r>
      <w:r w:rsidRPr="0017261A">
        <w:rPr>
          <w:rFonts w:ascii="Times New Roman" w:hAnsi="Times New Roman" w:cs="Times New Roman"/>
        </w:rPr>
        <w:t xml:space="preserve"> ai quali sia stata assegnata con formale atto documentale la responsabilità del Provveditorato</w:t>
      </w:r>
    </w:p>
    <w:p w:rsidR="00374FE9" w:rsidRDefault="00374FE9"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Pr="00550A00" w:rsidRDefault="00550A00" w:rsidP="00550A00">
      <w:pPr>
        <w:pStyle w:val="Paragrafoelenco"/>
        <w:ind w:left="1080"/>
        <w:jc w:val="both"/>
        <w:rPr>
          <w:rFonts w:ascii="Times New Roman" w:hAnsi="Times New Roman" w:cs="Times New Roman"/>
          <w:b/>
        </w:rPr>
      </w:pPr>
      <w:r w:rsidRPr="00550A00">
        <w:rPr>
          <w:rFonts w:ascii="Times New Roman" w:hAnsi="Times New Roman" w:cs="Times New Roman"/>
          <w:b/>
        </w:rPr>
        <w:t>UTILIZZO DE</w:t>
      </w:r>
      <w:r w:rsidR="009236ED">
        <w:rPr>
          <w:rFonts w:ascii="Times New Roman" w:hAnsi="Times New Roman" w:cs="Times New Roman"/>
          <w:b/>
        </w:rPr>
        <w:t>LLE RISORSE DECENTRATE ANNO 2014</w:t>
      </w: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center"/>
        <w:rPr>
          <w:rFonts w:ascii="Times New Roman" w:hAnsi="Times New Roman" w:cs="Times New Roman"/>
        </w:rPr>
      </w:pPr>
      <w:r>
        <w:rPr>
          <w:rFonts w:ascii="Times New Roman" w:hAnsi="Times New Roman" w:cs="Times New Roman"/>
        </w:rPr>
        <w:t>ART. 1 UTILIZZO RISORSE DECENTRATE</w:t>
      </w:r>
    </w:p>
    <w:p w:rsidR="00550A00" w:rsidRDefault="00550A00" w:rsidP="00550A00">
      <w:pPr>
        <w:pStyle w:val="Paragrafoelenco"/>
        <w:ind w:left="1080"/>
        <w:jc w:val="both"/>
        <w:rPr>
          <w:rFonts w:ascii="Times New Roman" w:hAnsi="Times New Roman" w:cs="Times New Roman"/>
        </w:rPr>
      </w:pPr>
    </w:p>
    <w:p w:rsidR="00EC66CE" w:rsidRDefault="00550A00" w:rsidP="00550A00">
      <w:pPr>
        <w:pStyle w:val="Paragrafoelenco"/>
        <w:ind w:left="0"/>
        <w:jc w:val="both"/>
        <w:rPr>
          <w:rFonts w:ascii="Times New Roman" w:hAnsi="Times New Roman" w:cs="Times New Roman"/>
        </w:rPr>
      </w:pPr>
      <w:r>
        <w:rPr>
          <w:rFonts w:ascii="Times New Roman" w:hAnsi="Times New Roman" w:cs="Times New Roman"/>
        </w:rPr>
        <w:t>Le risorse decentrate, determinate con delibe</w:t>
      </w:r>
      <w:r w:rsidR="00C62B81">
        <w:rPr>
          <w:rFonts w:ascii="Times New Roman" w:hAnsi="Times New Roman" w:cs="Times New Roman"/>
        </w:rPr>
        <w:t>razione di Giunta camerale n. 143 del 23</w:t>
      </w:r>
      <w:r>
        <w:rPr>
          <w:rFonts w:ascii="Times New Roman" w:hAnsi="Times New Roman" w:cs="Times New Roman"/>
        </w:rPr>
        <w:t>/</w:t>
      </w:r>
      <w:r w:rsidR="00C62B81">
        <w:rPr>
          <w:rFonts w:ascii="Times New Roman" w:hAnsi="Times New Roman" w:cs="Times New Roman"/>
        </w:rPr>
        <w:t xml:space="preserve">10/2014 ammontano a </w:t>
      </w:r>
      <w:r>
        <w:rPr>
          <w:rFonts w:ascii="Times New Roman" w:hAnsi="Times New Roman" w:cs="Times New Roman"/>
        </w:rPr>
        <w:t xml:space="preserve"> </w:t>
      </w:r>
      <w:r w:rsidRPr="00550A00">
        <w:rPr>
          <w:rFonts w:ascii="Times New Roman" w:hAnsi="Times New Roman" w:cs="Times New Roman"/>
          <w:b/>
        </w:rPr>
        <w:t>€ 2</w:t>
      </w:r>
      <w:r w:rsidR="002964A5">
        <w:rPr>
          <w:rFonts w:ascii="Times New Roman" w:hAnsi="Times New Roman" w:cs="Times New Roman"/>
          <w:b/>
        </w:rPr>
        <w:t>84.983,00</w:t>
      </w:r>
      <w:r w:rsidR="00C62B81">
        <w:rPr>
          <w:rFonts w:ascii="Times New Roman" w:hAnsi="Times New Roman" w:cs="Times New Roman"/>
          <w:b/>
        </w:rPr>
        <w:t xml:space="preserve"> </w:t>
      </w:r>
      <w:r>
        <w:rPr>
          <w:rFonts w:ascii="Times New Roman" w:hAnsi="Times New Roman" w:cs="Times New Roman"/>
        </w:rPr>
        <w:t xml:space="preserve">(risorse stabili)  e </w:t>
      </w:r>
      <w:r w:rsidR="002964A5">
        <w:rPr>
          <w:rFonts w:ascii="Times New Roman" w:hAnsi="Times New Roman" w:cs="Times New Roman"/>
          <w:b/>
        </w:rPr>
        <w:t>€ 205.816</w:t>
      </w:r>
      <w:r w:rsidR="00C62B81">
        <w:rPr>
          <w:rFonts w:ascii="Times New Roman" w:hAnsi="Times New Roman" w:cs="Times New Roman"/>
          <w:b/>
        </w:rPr>
        <w:t>,00</w:t>
      </w:r>
      <w:r>
        <w:rPr>
          <w:rFonts w:ascii="Times New Roman" w:hAnsi="Times New Roman" w:cs="Times New Roman"/>
          <w:b/>
        </w:rPr>
        <w:t xml:space="preserve"> </w:t>
      </w:r>
      <w:r w:rsidR="00D6210A">
        <w:rPr>
          <w:rFonts w:ascii="Times New Roman" w:hAnsi="Times New Roman" w:cs="Times New Roman"/>
        </w:rPr>
        <w:t xml:space="preserve">(risorse variabili) </w:t>
      </w:r>
      <w:r>
        <w:rPr>
          <w:rFonts w:ascii="Times New Roman" w:hAnsi="Times New Roman" w:cs="Times New Roman"/>
        </w:rPr>
        <w:t xml:space="preserve"> </w:t>
      </w:r>
      <w:r w:rsidR="00D6210A">
        <w:rPr>
          <w:rFonts w:ascii="Times New Roman" w:hAnsi="Times New Roman" w:cs="Times New Roman"/>
        </w:rPr>
        <w:t xml:space="preserve">ed € </w:t>
      </w:r>
      <w:r w:rsidR="00D6210A" w:rsidRPr="00D6210A">
        <w:rPr>
          <w:rFonts w:ascii="Times New Roman" w:hAnsi="Times New Roman" w:cs="Times New Roman"/>
          <w:b/>
        </w:rPr>
        <w:t>73.000,00</w:t>
      </w:r>
      <w:r w:rsidR="00D6210A">
        <w:rPr>
          <w:rFonts w:ascii="Times New Roman" w:hAnsi="Times New Roman" w:cs="Times New Roman"/>
        </w:rPr>
        <w:t xml:space="preserve"> </w:t>
      </w:r>
      <w:r w:rsidR="00854AB1">
        <w:rPr>
          <w:rFonts w:ascii="Times New Roman" w:hAnsi="Times New Roman" w:cs="Times New Roman"/>
        </w:rPr>
        <w:t xml:space="preserve">per economie di risorse variabili </w:t>
      </w:r>
      <w:r w:rsidR="00D74AB8">
        <w:rPr>
          <w:rFonts w:ascii="Times New Roman" w:hAnsi="Times New Roman" w:cs="Times New Roman"/>
        </w:rPr>
        <w:t xml:space="preserve">certificate </w:t>
      </w:r>
      <w:r w:rsidR="00EC66CE">
        <w:rPr>
          <w:rFonts w:ascii="Times New Roman" w:hAnsi="Times New Roman" w:cs="Times New Roman"/>
        </w:rPr>
        <w:t>non soggette al limite. Queste economie sono integrate dell’importo di € 6.656,00 relative a retribuzione di risultato per posizioni organizzative 2013 non assegnate come da prospetto di seguito illustrato:</w:t>
      </w:r>
    </w:p>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Fondo per la retribuzione di posizione e risultato anno 2013:</w:t>
      </w:r>
    </w:p>
    <w:p w:rsidR="00EC66CE" w:rsidRDefault="00EC66CE" w:rsidP="00550A00">
      <w:pPr>
        <w:pStyle w:val="Paragrafoelenco"/>
        <w:ind w:left="0"/>
        <w:jc w:val="both"/>
        <w:rPr>
          <w:rFonts w:ascii="Times New Roman" w:hAnsi="Times New Roman" w:cs="Times New Roman"/>
        </w:rPr>
      </w:pPr>
    </w:p>
    <w:tbl>
      <w:tblPr>
        <w:tblStyle w:val="Grigliatabella"/>
        <w:tblW w:w="0" w:type="auto"/>
        <w:tblLook w:val="04A0"/>
      </w:tblPr>
      <w:tblGrid>
        <w:gridCol w:w="2518"/>
        <w:gridCol w:w="2410"/>
        <w:gridCol w:w="2268"/>
        <w:gridCol w:w="2268"/>
      </w:tblGrid>
      <w:tr w:rsidR="00EC66CE" w:rsidTr="00EF6495">
        <w:tc>
          <w:tcPr>
            <w:tcW w:w="251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Denominazione P.O.</w:t>
            </w:r>
          </w:p>
        </w:tc>
        <w:tc>
          <w:tcPr>
            <w:tcW w:w="2410"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Retribuzione Posizione</w:t>
            </w:r>
          </w:p>
        </w:tc>
        <w:tc>
          <w:tcPr>
            <w:tcW w:w="226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Retribuzione Risultato</w:t>
            </w:r>
          </w:p>
        </w:tc>
        <w:tc>
          <w:tcPr>
            <w:tcW w:w="2268" w:type="dxa"/>
          </w:tcPr>
          <w:p w:rsidR="00EC66CE" w:rsidRDefault="00EC66CE" w:rsidP="00550A00">
            <w:pPr>
              <w:pStyle w:val="Paragrafoelenco"/>
              <w:ind w:left="0"/>
              <w:jc w:val="both"/>
              <w:rPr>
                <w:rFonts w:ascii="Times New Roman" w:hAnsi="Times New Roman" w:cs="Times New Roman"/>
              </w:rPr>
            </w:pPr>
          </w:p>
        </w:tc>
      </w:tr>
      <w:tr w:rsidR="00EC66CE" w:rsidTr="00EF6495">
        <w:tc>
          <w:tcPr>
            <w:tcW w:w="251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AAGG e Personale</w:t>
            </w:r>
          </w:p>
        </w:tc>
        <w:tc>
          <w:tcPr>
            <w:tcW w:w="2410"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€ 12.911,48</w:t>
            </w:r>
          </w:p>
        </w:tc>
        <w:tc>
          <w:tcPr>
            <w:tcW w:w="2268"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€ 3.227,85</w:t>
            </w:r>
          </w:p>
        </w:tc>
        <w:tc>
          <w:tcPr>
            <w:tcW w:w="2268"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Non assegnata</w:t>
            </w:r>
          </w:p>
        </w:tc>
      </w:tr>
      <w:tr w:rsidR="00EC66CE" w:rsidTr="00EF6495">
        <w:tc>
          <w:tcPr>
            <w:tcW w:w="251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Ragioneria e Patrimonio</w:t>
            </w:r>
          </w:p>
        </w:tc>
        <w:tc>
          <w:tcPr>
            <w:tcW w:w="2410"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€ 12.911,48</w:t>
            </w:r>
          </w:p>
        </w:tc>
        <w:tc>
          <w:tcPr>
            <w:tcW w:w="2268"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€ 3.227,85</w:t>
            </w:r>
          </w:p>
        </w:tc>
        <w:tc>
          <w:tcPr>
            <w:tcW w:w="2268" w:type="dxa"/>
          </w:tcPr>
          <w:p w:rsidR="00EC66CE" w:rsidRPr="00EC66CE" w:rsidRDefault="00EC66CE" w:rsidP="00550A00">
            <w:pPr>
              <w:pStyle w:val="Paragrafoelenco"/>
              <w:ind w:left="0"/>
              <w:jc w:val="both"/>
              <w:rPr>
                <w:rFonts w:ascii="Times New Roman" w:hAnsi="Times New Roman" w:cs="Times New Roman"/>
                <w:b/>
              </w:rPr>
            </w:pPr>
            <w:r w:rsidRPr="00EC66CE">
              <w:rPr>
                <w:rFonts w:ascii="Times New Roman" w:hAnsi="Times New Roman" w:cs="Times New Roman"/>
                <w:b/>
              </w:rPr>
              <w:t>Non assegnata</w:t>
            </w:r>
          </w:p>
        </w:tc>
      </w:tr>
      <w:tr w:rsidR="00EC66CE" w:rsidTr="00EF6495">
        <w:tc>
          <w:tcPr>
            <w:tcW w:w="251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Anagrafe</w:t>
            </w:r>
          </w:p>
        </w:tc>
        <w:tc>
          <w:tcPr>
            <w:tcW w:w="2410"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€ 12.911,48</w:t>
            </w:r>
          </w:p>
        </w:tc>
        <w:tc>
          <w:tcPr>
            <w:tcW w:w="226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€ 3.227,85</w:t>
            </w:r>
          </w:p>
        </w:tc>
        <w:tc>
          <w:tcPr>
            <w:tcW w:w="226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Affidato incarico</w:t>
            </w:r>
          </w:p>
        </w:tc>
      </w:tr>
      <w:tr w:rsidR="00EC66CE" w:rsidTr="00EF6495">
        <w:tc>
          <w:tcPr>
            <w:tcW w:w="251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Regolazione del Mercato</w:t>
            </w:r>
          </w:p>
        </w:tc>
        <w:tc>
          <w:tcPr>
            <w:tcW w:w="2410"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€ 12.911,48</w:t>
            </w:r>
          </w:p>
        </w:tc>
        <w:tc>
          <w:tcPr>
            <w:tcW w:w="226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€ 3.227,85</w:t>
            </w:r>
          </w:p>
        </w:tc>
        <w:tc>
          <w:tcPr>
            <w:tcW w:w="2268" w:type="dxa"/>
          </w:tcPr>
          <w:p w:rsidR="00EC66CE" w:rsidRDefault="00EC66CE" w:rsidP="00550A00">
            <w:pPr>
              <w:pStyle w:val="Paragrafoelenco"/>
              <w:ind w:left="0"/>
              <w:jc w:val="both"/>
              <w:rPr>
                <w:rFonts w:ascii="Times New Roman" w:hAnsi="Times New Roman" w:cs="Times New Roman"/>
              </w:rPr>
            </w:pPr>
            <w:r>
              <w:rPr>
                <w:rFonts w:ascii="Times New Roman" w:hAnsi="Times New Roman" w:cs="Times New Roman"/>
              </w:rPr>
              <w:t>Affidato incarico</w:t>
            </w:r>
          </w:p>
        </w:tc>
      </w:tr>
    </w:tbl>
    <w:p w:rsidR="00EC66CE" w:rsidRDefault="00EC66CE" w:rsidP="00550A00">
      <w:pPr>
        <w:pStyle w:val="Paragrafoelenco"/>
        <w:ind w:left="0"/>
        <w:jc w:val="both"/>
        <w:rPr>
          <w:rFonts w:ascii="Times New Roman" w:hAnsi="Times New Roman" w:cs="Times New Roman"/>
        </w:rPr>
      </w:pPr>
    </w:p>
    <w:p w:rsidR="00550A00" w:rsidRDefault="00EC66CE" w:rsidP="00550A00">
      <w:pPr>
        <w:pStyle w:val="Paragrafoelenco"/>
        <w:ind w:left="0"/>
        <w:jc w:val="both"/>
        <w:rPr>
          <w:rFonts w:ascii="Times New Roman" w:hAnsi="Times New Roman" w:cs="Times New Roman"/>
        </w:rPr>
      </w:pPr>
      <w:r>
        <w:rPr>
          <w:rFonts w:ascii="Times New Roman" w:hAnsi="Times New Roman" w:cs="Times New Roman"/>
        </w:rPr>
        <w:t>Le risorse decentrate anno 2014</w:t>
      </w:r>
      <w:r w:rsidR="00550A00">
        <w:rPr>
          <w:rFonts w:ascii="Times New Roman" w:hAnsi="Times New Roman" w:cs="Times New Roman"/>
        </w:rPr>
        <w:t xml:space="preserve"> sono così utilizzate</w:t>
      </w:r>
      <w:r w:rsidR="00161FF8">
        <w:rPr>
          <w:rFonts w:ascii="Times New Roman" w:hAnsi="Times New Roman" w:cs="Times New Roman"/>
        </w:rPr>
        <w:t>:</w:t>
      </w:r>
    </w:p>
    <w:p w:rsidR="00161FF8" w:rsidRDefault="00161FF8" w:rsidP="00550A00">
      <w:pPr>
        <w:pStyle w:val="Paragrafoelenco"/>
        <w:ind w:left="0"/>
        <w:jc w:val="both"/>
        <w:rPr>
          <w:rFonts w:ascii="Times New Roman" w:hAnsi="Times New Roman" w:cs="Times New Roman"/>
        </w:rPr>
      </w:pPr>
    </w:p>
    <w:p w:rsidR="00161FF8" w:rsidRPr="00161FF8" w:rsidRDefault="00161FF8" w:rsidP="00161FF8">
      <w:pPr>
        <w:rPr>
          <w:rFonts w:ascii="Times New Roman" w:hAnsi="Times New Roman" w:cs="Times New Roman"/>
        </w:rPr>
      </w:pPr>
      <w:r w:rsidRPr="00161FF8">
        <w:rPr>
          <w:rFonts w:ascii="Times New Roman" w:hAnsi="Times New Roman" w:cs="Times New Roman"/>
          <w:b/>
        </w:rPr>
        <w:t>RISORSE STABILI €</w:t>
      </w:r>
      <w:r w:rsidR="002964A5">
        <w:rPr>
          <w:rFonts w:ascii="Times New Roman" w:hAnsi="Times New Roman" w:cs="Times New Roman"/>
          <w:b/>
        </w:rPr>
        <w:t xml:space="preserve"> 225.392</w:t>
      </w:r>
      <w:r>
        <w:rPr>
          <w:rFonts w:ascii="Times New Roman" w:hAnsi="Times New Roman" w:cs="Times New Roman"/>
          <w:b/>
        </w:rPr>
        <w:t xml:space="preserve">,00 </w:t>
      </w:r>
      <w:r>
        <w:rPr>
          <w:rFonts w:ascii="Times New Roman" w:hAnsi="Times New Roman" w:cs="Times New Roman"/>
        </w:rPr>
        <w:t xml:space="preserve">(al netto della riduzione di € </w:t>
      </w:r>
      <w:r w:rsidR="002964A5">
        <w:rPr>
          <w:rFonts w:ascii="Times New Roman" w:hAnsi="Times New Roman" w:cs="Times New Roman"/>
          <w:b/>
        </w:rPr>
        <w:t>44.442</w:t>
      </w:r>
      <w:r w:rsidRPr="00AA12C2">
        <w:rPr>
          <w:rFonts w:ascii="Times New Roman" w:hAnsi="Times New Roman" w:cs="Times New Roman"/>
          <w:b/>
        </w:rPr>
        <w:t>,</w:t>
      </w:r>
      <w:r w:rsidR="002964A5">
        <w:rPr>
          <w:rFonts w:ascii="Times New Roman" w:hAnsi="Times New Roman" w:cs="Times New Roman"/>
          <w:b/>
        </w:rPr>
        <w:t xml:space="preserve">00 </w:t>
      </w:r>
      <w:r>
        <w:rPr>
          <w:rFonts w:ascii="Times New Roman" w:hAnsi="Times New Roman" w:cs="Times New Roman"/>
        </w:rPr>
        <w:t xml:space="preserve">per riduzione di personale e di </w:t>
      </w:r>
      <w:r w:rsidRPr="002964A5">
        <w:rPr>
          <w:rFonts w:ascii="Times New Roman" w:hAnsi="Times New Roman" w:cs="Times New Roman"/>
          <w:b/>
        </w:rPr>
        <w:t>€</w:t>
      </w:r>
      <w:r w:rsidR="002964A5">
        <w:rPr>
          <w:rFonts w:ascii="Times New Roman" w:hAnsi="Times New Roman" w:cs="Times New Roman"/>
          <w:b/>
        </w:rPr>
        <w:t>15</w:t>
      </w:r>
      <w:r w:rsidRPr="002964A5">
        <w:rPr>
          <w:rFonts w:ascii="Times New Roman" w:hAnsi="Times New Roman" w:cs="Times New Roman"/>
          <w:b/>
        </w:rPr>
        <w:t>.</w:t>
      </w:r>
      <w:r w:rsidR="002964A5">
        <w:rPr>
          <w:rFonts w:ascii="Times New Roman" w:hAnsi="Times New Roman" w:cs="Times New Roman"/>
          <w:b/>
        </w:rPr>
        <w:t>148</w:t>
      </w:r>
      <w:r w:rsidR="0052054F">
        <w:rPr>
          <w:rFonts w:ascii="Times New Roman" w:hAnsi="Times New Roman" w:cs="Times New Roman"/>
        </w:rPr>
        <w:t>,</w:t>
      </w:r>
      <w:r w:rsidR="0052054F" w:rsidRPr="0052054F">
        <w:rPr>
          <w:rFonts w:ascii="Times New Roman" w:hAnsi="Times New Roman" w:cs="Times New Roman"/>
          <w:b/>
        </w:rPr>
        <w:t>00</w:t>
      </w:r>
      <w:r>
        <w:rPr>
          <w:rFonts w:ascii="Times New Roman" w:hAnsi="Times New Roman" w:cs="Times New Roman"/>
        </w:rPr>
        <w:t>per confronto con Fondo anno 2010)</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2444"/>
        <w:gridCol w:w="2445"/>
      </w:tblGrid>
      <w:tr w:rsidR="00550A00" w:rsidTr="00F46409">
        <w:tc>
          <w:tcPr>
            <w:tcW w:w="4889" w:type="dxa"/>
          </w:tcPr>
          <w:p w:rsidR="00550A00" w:rsidRPr="008E3A22"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la progressione orizzontale</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D6210A" w:rsidP="00161FF8">
            <w:pPr>
              <w:pStyle w:val="Paragrafoelenco"/>
              <w:tabs>
                <w:tab w:val="left" w:pos="7018"/>
              </w:tabs>
              <w:ind w:left="0"/>
              <w:jc w:val="right"/>
              <w:rPr>
                <w:rFonts w:ascii="Times New Roman" w:hAnsi="Times New Roman" w:cs="Times New Roman"/>
                <w:b/>
              </w:rPr>
            </w:pPr>
            <w:r>
              <w:rPr>
                <w:rFonts w:ascii="Times New Roman" w:hAnsi="Times New Roman" w:cs="Times New Roman"/>
                <w:b/>
              </w:rPr>
              <w:t>121</w:t>
            </w:r>
            <w:r w:rsidR="00550A00">
              <w:rPr>
                <w:rFonts w:ascii="Times New Roman" w:hAnsi="Times New Roman" w:cs="Times New Roman"/>
                <w:b/>
              </w:rPr>
              <w:t>.</w:t>
            </w:r>
            <w:r>
              <w:rPr>
                <w:rFonts w:ascii="Times New Roman" w:hAnsi="Times New Roman" w:cs="Times New Roman"/>
                <w:b/>
              </w:rPr>
              <w:t>403</w:t>
            </w:r>
            <w:r w:rsidR="00550A00">
              <w:rPr>
                <w:rFonts w:ascii="Times New Roman" w:hAnsi="Times New Roman" w:cs="Times New Roman"/>
                <w:b/>
              </w:rPr>
              <w:t>,00</w:t>
            </w:r>
          </w:p>
        </w:tc>
      </w:tr>
      <w:tr w:rsidR="00550A00" w:rsidTr="00F46409">
        <w:tc>
          <w:tcPr>
            <w:tcW w:w="4889" w:type="dxa"/>
          </w:tcPr>
          <w:p w:rsidR="00550A00" w:rsidRPr="008E3A22"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l’indennità di comparto</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2964A5"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19.504</w:t>
            </w:r>
            <w:r w:rsidR="00550A00">
              <w:rPr>
                <w:rFonts w:ascii="Times New Roman" w:hAnsi="Times New Roman" w:cs="Times New Roman"/>
                <w:b/>
              </w:rPr>
              <w:t>,00</w:t>
            </w:r>
          </w:p>
        </w:tc>
      </w:tr>
      <w:tr w:rsidR="00550A00" w:rsidTr="00F46409">
        <w:tc>
          <w:tcPr>
            <w:tcW w:w="4889" w:type="dxa"/>
          </w:tcPr>
          <w:p w:rsidR="00550A00" w:rsidRPr="00FD7BDD"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la retribuzione di posizione e risultato delle Posizioni organizzative</w:t>
            </w:r>
          </w:p>
        </w:tc>
        <w:tc>
          <w:tcPr>
            <w:tcW w:w="2444" w:type="dxa"/>
          </w:tcPr>
          <w:p w:rsidR="00550A00" w:rsidRDefault="00550A00" w:rsidP="00F46409">
            <w:pPr>
              <w:pStyle w:val="Paragrafoelenco"/>
              <w:tabs>
                <w:tab w:val="left" w:pos="7018"/>
              </w:tabs>
              <w:ind w:left="0"/>
              <w:rPr>
                <w:rFonts w:ascii="Times New Roman" w:hAnsi="Times New Roman" w:cs="Times New Roman"/>
                <w:b/>
              </w:rPr>
            </w:pPr>
          </w:p>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550A00" w:rsidP="00F46409">
            <w:pPr>
              <w:pStyle w:val="Paragrafoelenco"/>
              <w:tabs>
                <w:tab w:val="left" w:pos="7018"/>
              </w:tabs>
              <w:ind w:left="0"/>
              <w:jc w:val="right"/>
              <w:rPr>
                <w:rFonts w:ascii="Times New Roman" w:hAnsi="Times New Roman" w:cs="Times New Roman"/>
                <w:b/>
              </w:rPr>
            </w:pPr>
          </w:p>
          <w:p w:rsidR="00550A00" w:rsidRDefault="00550A00"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64.557,00</w:t>
            </w:r>
          </w:p>
        </w:tc>
      </w:tr>
      <w:tr w:rsidR="00550A00" w:rsidTr="00F46409">
        <w:tc>
          <w:tcPr>
            <w:tcW w:w="4889" w:type="dxa"/>
          </w:tcPr>
          <w:p w:rsidR="00550A00" w:rsidRPr="00FD7BDD" w:rsidRDefault="00550A00" w:rsidP="00F46409">
            <w:pPr>
              <w:pStyle w:val="Paragrafoelenco"/>
              <w:tabs>
                <w:tab w:val="left" w:pos="7018"/>
              </w:tabs>
              <w:ind w:left="0"/>
              <w:rPr>
                <w:rFonts w:ascii="Times New Roman" w:hAnsi="Times New Roman" w:cs="Times New Roman"/>
              </w:rPr>
            </w:pPr>
            <w:r w:rsidRPr="00FD7BDD">
              <w:rPr>
                <w:rFonts w:ascii="Times New Roman" w:hAnsi="Times New Roman" w:cs="Times New Roman"/>
              </w:rPr>
              <w:t>Altri Istituti</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550A00"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1.868,00</w:t>
            </w:r>
          </w:p>
        </w:tc>
      </w:tr>
      <w:tr w:rsidR="00550A00" w:rsidTr="00F46409">
        <w:tc>
          <w:tcPr>
            <w:tcW w:w="4889" w:type="dxa"/>
          </w:tcPr>
          <w:p w:rsidR="00550A00" w:rsidRPr="00161FF8" w:rsidRDefault="00161FF8" w:rsidP="00F46409">
            <w:pPr>
              <w:pStyle w:val="Paragrafoelenco"/>
              <w:tabs>
                <w:tab w:val="left" w:pos="7018"/>
              </w:tabs>
              <w:ind w:left="0"/>
              <w:rPr>
                <w:rFonts w:ascii="Times New Roman" w:hAnsi="Times New Roman" w:cs="Times New Roman"/>
              </w:rPr>
            </w:pPr>
            <w:r>
              <w:rPr>
                <w:rFonts w:ascii="Times New Roman" w:hAnsi="Times New Roman" w:cs="Times New Roman"/>
              </w:rPr>
              <w:t>Non utilizzate</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D6210A" w:rsidP="00207C4A">
            <w:pPr>
              <w:pStyle w:val="Paragrafoelenco"/>
              <w:tabs>
                <w:tab w:val="left" w:pos="7018"/>
              </w:tabs>
              <w:ind w:left="0"/>
              <w:jc w:val="right"/>
              <w:rPr>
                <w:rFonts w:ascii="Times New Roman" w:hAnsi="Times New Roman" w:cs="Times New Roman"/>
                <w:b/>
              </w:rPr>
            </w:pPr>
            <w:r>
              <w:rPr>
                <w:rFonts w:ascii="Times New Roman" w:hAnsi="Times New Roman" w:cs="Times New Roman"/>
                <w:b/>
              </w:rPr>
              <w:t>18.060,00</w:t>
            </w:r>
          </w:p>
        </w:tc>
      </w:tr>
      <w:tr w:rsidR="00161FF8" w:rsidTr="00F46409">
        <w:tc>
          <w:tcPr>
            <w:tcW w:w="4889" w:type="dxa"/>
          </w:tcPr>
          <w:p w:rsidR="00161FF8" w:rsidRDefault="00161FF8" w:rsidP="00F46409">
            <w:pPr>
              <w:pStyle w:val="Paragrafoelenco"/>
              <w:tabs>
                <w:tab w:val="left" w:pos="7018"/>
              </w:tabs>
              <w:ind w:left="0"/>
              <w:rPr>
                <w:rFonts w:ascii="Times New Roman" w:hAnsi="Times New Roman" w:cs="Times New Roman"/>
              </w:rPr>
            </w:pPr>
            <w:r>
              <w:rPr>
                <w:rFonts w:ascii="Times New Roman" w:hAnsi="Times New Roman" w:cs="Times New Roman"/>
              </w:rPr>
              <w:t>Totale</w:t>
            </w:r>
          </w:p>
        </w:tc>
        <w:tc>
          <w:tcPr>
            <w:tcW w:w="2444" w:type="dxa"/>
          </w:tcPr>
          <w:p w:rsidR="00161FF8" w:rsidRDefault="000C6870" w:rsidP="00F46409">
            <w:pPr>
              <w:pStyle w:val="Paragrafoelenco"/>
              <w:tabs>
                <w:tab w:val="left" w:pos="7018"/>
              </w:tabs>
              <w:ind w:left="0"/>
              <w:rPr>
                <w:rFonts w:ascii="Times New Roman" w:hAnsi="Times New Roman" w:cs="Times New Roman"/>
                <w:b/>
              </w:rPr>
            </w:pPr>
            <w:r>
              <w:rPr>
                <w:rFonts w:ascii="Times New Roman" w:hAnsi="Times New Roman" w:cs="Times New Roman"/>
                <w:b/>
              </w:rPr>
              <w:t>€</w:t>
            </w:r>
          </w:p>
        </w:tc>
        <w:tc>
          <w:tcPr>
            <w:tcW w:w="2445" w:type="dxa"/>
          </w:tcPr>
          <w:p w:rsidR="00161FF8" w:rsidRDefault="00D6210A"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225</w:t>
            </w:r>
            <w:r w:rsidR="00207C4A">
              <w:rPr>
                <w:rFonts w:ascii="Times New Roman" w:hAnsi="Times New Roman" w:cs="Times New Roman"/>
                <w:b/>
              </w:rPr>
              <w:t>.</w:t>
            </w:r>
            <w:r>
              <w:rPr>
                <w:rFonts w:ascii="Times New Roman" w:hAnsi="Times New Roman" w:cs="Times New Roman"/>
                <w:b/>
              </w:rPr>
              <w:t>392,00</w:t>
            </w:r>
          </w:p>
        </w:tc>
      </w:tr>
    </w:tbl>
    <w:p w:rsidR="00550A00" w:rsidRDefault="00550A00" w:rsidP="00550A00">
      <w:pPr>
        <w:pStyle w:val="Paragrafoelenco"/>
        <w:ind w:left="1080"/>
        <w:jc w:val="both"/>
        <w:rPr>
          <w:rFonts w:ascii="Times New Roman" w:hAnsi="Times New Roman" w:cs="Times New Roman"/>
        </w:rPr>
      </w:pPr>
    </w:p>
    <w:p w:rsidR="00207C4A" w:rsidRDefault="00207C4A" w:rsidP="00550A00">
      <w:pPr>
        <w:pStyle w:val="Paragrafoelenco"/>
        <w:ind w:left="1080"/>
        <w:jc w:val="both"/>
        <w:rPr>
          <w:rFonts w:ascii="Times New Roman" w:hAnsi="Times New Roman" w:cs="Times New Roman"/>
        </w:rPr>
      </w:pPr>
    </w:p>
    <w:p w:rsidR="00207C4A" w:rsidRDefault="00207C4A" w:rsidP="00207C4A">
      <w:pPr>
        <w:pStyle w:val="Paragrafoelenco"/>
        <w:ind w:left="0"/>
        <w:jc w:val="both"/>
        <w:rPr>
          <w:rFonts w:ascii="Times New Roman" w:hAnsi="Times New Roman" w:cs="Times New Roman"/>
        </w:rPr>
      </w:pPr>
      <w:r>
        <w:rPr>
          <w:rFonts w:ascii="Times New Roman" w:hAnsi="Times New Roman" w:cs="Times New Roman"/>
          <w:b/>
        </w:rPr>
        <w:t>RISORSE VARIABILI €</w:t>
      </w:r>
      <w:r w:rsidR="002964A5">
        <w:rPr>
          <w:rFonts w:ascii="Times New Roman" w:hAnsi="Times New Roman" w:cs="Times New Roman"/>
          <w:b/>
        </w:rPr>
        <w:t xml:space="preserve"> 171.919</w:t>
      </w:r>
      <w:r w:rsidR="0052054F">
        <w:rPr>
          <w:rFonts w:ascii="Times New Roman" w:hAnsi="Times New Roman" w:cs="Times New Roman"/>
          <w:b/>
        </w:rPr>
        <w:t>,00</w:t>
      </w:r>
      <w:r>
        <w:rPr>
          <w:rFonts w:ascii="Times New Roman" w:hAnsi="Times New Roman" w:cs="Times New Roman"/>
          <w:b/>
        </w:rPr>
        <w:t xml:space="preserve"> </w:t>
      </w:r>
      <w:r>
        <w:rPr>
          <w:rFonts w:ascii="Times New Roman" w:hAnsi="Times New Roman" w:cs="Times New Roman"/>
        </w:rPr>
        <w:t xml:space="preserve">  </w:t>
      </w:r>
      <w:r w:rsidR="00D74AB8">
        <w:rPr>
          <w:rFonts w:ascii="Times New Roman" w:hAnsi="Times New Roman" w:cs="Times New Roman"/>
        </w:rPr>
        <w:t>(</w:t>
      </w:r>
      <w:r>
        <w:rPr>
          <w:rFonts w:ascii="Times New Roman" w:hAnsi="Times New Roman" w:cs="Times New Roman"/>
        </w:rPr>
        <w:t xml:space="preserve">al netto della riduzione di </w:t>
      </w:r>
      <w:r w:rsidRPr="002964A5">
        <w:rPr>
          <w:rFonts w:ascii="Times New Roman" w:hAnsi="Times New Roman" w:cs="Times New Roman"/>
          <w:b/>
        </w:rPr>
        <w:t>€</w:t>
      </w:r>
      <w:r w:rsidR="002964A5" w:rsidRPr="002964A5">
        <w:rPr>
          <w:rFonts w:ascii="Times New Roman" w:hAnsi="Times New Roman" w:cs="Times New Roman"/>
          <w:b/>
        </w:rPr>
        <w:t xml:space="preserve"> 33.898</w:t>
      </w:r>
      <w:r>
        <w:rPr>
          <w:rFonts w:ascii="Times New Roman" w:hAnsi="Times New Roman" w:cs="Times New Roman"/>
        </w:rPr>
        <w:t xml:space="preserve"> per riduzione di personale</w:t>
      </w:r>
      <w:r w:rsidR="002964A5">
        <w:rPr>
          <w:rFonts w:ascii="Times New Roman" w:hAnsi="Times New Roman" w:cs="Times New Roman"/>
        </w:rPr>
        <w:t>)</w:t>
      </w:r>
      <w:r>
        <w:rPr>
          <w:rFonts w:ascii="Times New Roman" w:hAnsi="Times New Roman" w:cs="Times New Roman"/>
        </w:rPr>
        <w:t xml:space="preserve"> </w:t>
      </w:r>
      <w:r w:rsidR="00D74AB8">
        <w:rPr>
          <w:rFonts w:ascii="Times New Roman" w:hAnsi="Times New Roman" w:cs="Times New Roman"/>
        </w:rPr>
        <w:t xml:space="preserve">+ </w:t>
      </w:r>
      <w:r w:rsidR="00D74AB8" w:rsidRPr="00D74AB8">
        <w:rPr>
          <w:rFonts w:ascii="Times New Roman" w:hAnsi="Times New Roman" w:cs="Times New Roman"/>
          <w:b/>
        </w:rPr>
        <w:t>€</w:t>
      </w:r>
      <w:r w:rsidR="00D74AB8">
        <w:rPr>
          <w:rFonts w:ascii="Times New Roman" w:hAnsi="Times New Roman" w:cs="Times New Roman"/>
        </w:rPr>
        <w:t xml:space="preserve"> </w:t>
      </w:r>
      <w:r w:rsidR="00D74AB8" w:rsidRPr="00D74AB8">
        <w:rPr>
          <w:rFonts w:ascii="Times New Roman" w:hAnsi="Times New Roman" w:cs="Times New Roman"/>
          <w:b/>
        </w:rPr>
        <w:t>73.000,00</w:t>
      </w:r>
      <w:r w:rsidR="00D74AB8">
        <w:rPr>
          <w:rFonts w:ascii="Times New Roman" w:hAnsi="Times New Roman" w:cs="Times New Roman"/>
        </w:rPr>
        <w:t xml:space="preserve"> per economie di risorse variabili certificate non soggette al limite.</w:t>
      </w:r>
    </w:p>
    <w:p w:rsidR="000C6870" w:rsidRDefault="000C6870" w:rsidP="00207C4A">
      <w:pPr>
        <w:pStyle w:val="Paragrafoelenco"/>
        <w:ind w:left="0"/>
        <w:jc w:val="both"/>
        <w:rPr>
          <w:rFonts w:ascii="Times New Roman" w:hAnsi="Times New Roman" w:cs="Times New Roman"/>
        </w:rPr>
      </w:pPr>
    </w:p>
    <w:tbl>
      <w:tblPr>
        <w:tblStyle w:val="Grigliatabella"/>
        <w:tblW w:w="0" w:type="auto"/>
        <w:tblLook w:val="04A0"/>
      </w:tblPr>
      <w:tblGrid>
        <w:gridCol w:w="4928"/>
        <w:gridCol w:w="2410"/>
        <w:gridCol w:w="2440"/>
      </w:tblGrid>
      <w:tr w:rsidR="000C6870" w:rsidTr="00F46409">
        <w:tc>
          <w:tcPr>
            <w:tcW w:w="4928" w:type="dxa"/>
            <w:tcBorders>
              <w:top w:val="nil"/>
              <w:left w:val="nil"/>
              <w:bottom w:val="nil"/>
              <w:right w:val="nil"/>
            </w:tcBorders>
          </w:tcPr>
          <w:p w:rsidR="000C6870" w:rsidRPr="000C6870" w:rsidRDefault="000C6870" w:rsidP="00F46409">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Produttività e miglioramento servizi anno 201</w:t>
            </w:r>
            <w:r w:rsidR="0017261A">
              <w:rPr>
                <w:rFonts w:ascii="Times New Roman" w:hAnsi="Times New Roman" w:cs="Times New Roman"/>
              </w:rPr>
              <w:t>4</w:t>
            </w:r>
          </w:p>
        </w:tc>
        <w:tc>
          <w:tcPr>
            <w:tcW w:w="2410"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0C6870" w:rsidRDefault="00D74AB8" w:rsidP="0017261A">
            <w:pPr>
              <w:pStyle w:val="Paragrafoelenco"/>
              <w:tabs>
                <w:tab w:val="left" w:pos="7018"/>
              </w:tabs>
              <w:ind w:left="0"/>
              <w:jc w:val="right"/>
              <w:rPr>
                <w:rFonts w:ascii="Times New Roman" w:hAnsi="Times New Roman" w:cs="Times New Roman"/>
                <w:b/>
              </w:rPr>
            </w:pPr>
            <w:r>
              <w:rPr>
                <w:rFonts w:ascii="Times New Roman" w:hAnsi="Times New Roman" w:cs="Times New Roman"/>
                <w:b/>
              </w:rPr>
              <w:t>238.568</w:t>
            </w:r>
            <w:r w:rsidR="0017261A">
              <w:rPr>
                <w:rFonts w:ascii="Times New Roman" w:hAnsi="Times New Roman" w:cs="Times New Roman"/>
                <w:b/>
              </w:rPr>
              <w:t>,00</w:t>
            </w:r>
          </w:p>
        </w:tc>
      </w:tr>
      <w:tr w:rsidR="000C6870" w:rsidTr="00F46409">
        <w:tc>
          <w:tcPr>
            <w:tcW w:w="4928"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Indennità varie 201</w:t>
            </w:r>
            <w:r w:rsidR="0017261A">
              <w:rPr>
                <w:rFonts w:ascii="Times New Roman" w:hAnsi="Times New Roman" w:cs="Times New Roman"/>
              </w:rPr>
              <w:t>4</w:t>
            </w:r>
          </w:p>
          <w:p w:rsidR="0017261A" w:rsidRDefault="0017261A" w:rsidP="00F46409">
            <w:pPr>
              <w:pStyle w:val="Paragrafoelenco"/>
              <w:tabs>
                <w:tab w:val="left" w:pos="7018"/>
              </w:tabs>
              <w:ind w:left="0"/>
              <w:jc w:val="both"/>
              <w:rPr>
                <w:rFonts w:ascii="Times New Roman" w:hAnsi="Times New Roman" w:cs="Times New Roman"/>
              </w:rPr>
            </w:pPr>
          </w:p>
          <w:p w:rsidR="0017261A" w:rsidRPr="000C6870" w:rsidRDefault="0017261A" w:rsidP="0017261A">
            <w:pPr>
              <w:pStyle w:val="Paragrafoelenco"/>
              <w:tabs>
                <w:tab w:val="left" w:pos="7018"/>
              </w:tabs>
              <w:ind w:left="0"/>
              <w:rPr>
                <w:rFonts w:ascii="Times New Roman" w:hAnsi="Times New Roman" w:cs="Times New Roman"/>
              </w:rPr>
            </w:pPr>
            <w:r>
              <w:rPr>
                <w:rFonts w:ascii="Times New Roman" w:hAnsi="Times New Roman" w:cs="Times New Roman"/>
              </w:rPr>
              <w:t xml:space="preserve">Specifiche Responsabilità              </w:t>
            </w:r>
            <w:r w:rsidR="0052054F">
              <w:rPr>
                <w:rFonts w:ascii="Times New Roman" w:hAnsi="Times New Roman" w:cs="Times New Roman"/>
              </w:rPr>
              <w:t xml:space="preserve">                      </w:t>
            </w:r>
            <w:r>
              <w:rPr>
                <w:rFonts w:ascii="Times New Roman" w:hAnsi="Times New Roman" w:cs="Times New Roman"/>
              </w:rPr>
              <w:t xml:space="preserve">                  </w:t>
            </w:r>
            <w:r w:rsidR="00D74AB8">
              <w:rPr>
                <w:rFonts w:ascii="Times New Roman" w:hAnsi="Times New Roman" w:cs="Times New Roman"/>
              </w:rPr>
              <w:t xml:space="preserve">       </w:t>
            </w:r>
          </w:p>
        </w:tc>
        <w:tc>
          <w:tcPr>
            <w:tcW w:w="2410" w:type="dxa"/>
            <w:tcBorders>
              <w:top w:val="nil"/>
              <w:left w:val="nil"/>
              <w:bottom w:val="nil"/>
              <w:right w:val="nil"/>
            </w:tcBorders>
          </w:tcPr>
          <w:p w:rsidR="000C6870" w:rsidRDefault="0017261A"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p w:rsidR="00305619" w:rsidRDefault="00305619" w:rsidP="00F46409">
            <w:pPr>
              <w:pStyle w:val="Paragrafoelenco"/>
              <w:tabs>
                <w:tab w:val="left" w:pos="7018"/>
              </w:tabs>
              <w:ind w:left="0"/>
              <w:jc w:val="both"/>
              <w:rPr>
                <w:rFonts w:ascii="Times New Roman" w:hAnsi="Times New Roman" w:cs="Times New Roman"/>
                <w:b/>
              </w:rPr>
            </w:pPr>
          </w:p>
          <w:p w:rsidR="00305619" w:rsidRDefault="0052054F"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17261A" w:rsidRDefault="0017261A" w:rsidP="0017261A">
            <w:pPr>
              <w:pStyle w:val="Paragrafoelenco"/>
              <w:tabs>
                <w:tab w:val="left" w:pos="7018"/>
              </w:tabs>
              <w:ind w:left="0"/>
              <w:jc w:val="right"/>
              <w:rPr>
                <w:rFonts w:ascii="Times New Roman" w:hAnsi="Times New Roman" w:cs="Times New Roman"/>
                <w:b/>
              </w:rPr>
            </w:pPr>
            <w:r>
              <w:rPr>
                <w:rFonts w:ascii="Times New Roman" w:hAnsi="Times New Roman" w:cs="Times New Roman"/>
                <w:b/>
              </w:rPr>
              <w:t>1.351,00</w:t>
            </w:r>
          </w:p>
          <w:p w:rsidR="0052054F" w:rsidRDefault="0052054F" w:rsidP="0017261A">
            <w:pPr>
              <w:pStyle w:val="Paragrafoelenco"/>
              <w:tabs>
                <w:tab w:val="left" w:pos="7018"/>
              </w:tabs>
              <w:ind w:left="0"/>
              <w:jc w:val="right"/>
              <w:rPr>
                <w:rFonts w:ascii="Times New Roman" w:hAnsi="Times New Roman" w:cs="Times New Roman"/>
                <w:b/>
              </w:rPr>
            </w:pPr>
          </w:p>
          <w:p w:rsidR="0052054F" w:rsidRDefault="0052054F" w:rsidP="0017261A">
            <w:pPr>
              <w:pStyle w:val="Paragrafoelenco"/>
              <w:tabs>
                <w:tab w:val="left" w:pos="7018"/>
              </w:tabs>
              <w:ind w:left="0"/>
              <w:jc w:val="right"/>
              <w:rPr>
                <w:rFonts w:ascii="Times New Roman" w:hAnsi="Times New Roman" w:cs="Times New Roman"/>
                <w:b/>
              </w:rPr>
            </w:pPr>
            <w:r>
              <w:rPr>
                <w:rFonts w:ascii="Times New Roman" w:hAnsi="Times New Roman" w:cs="Times New Roman"/>
                <w:b/>
              </w:rPr>
              <w:t>5.000,00</w:t>
            </w:r>
          </w:p>
        </w:tc>
      </w:tr>
      <w:tr w:rsidR="000C6870" w:rsidTr="00F46409">
        <w:tc>
          <w:tcPr>
            <w:tcW w:w="4928" w:type="dxa"/>
            <w:tcBorders>
              <w:top w:val="nil"/>
              <w:left w:val="nil"/>
              <w:bottom w:val="nil"/>
              <w:right w:val="nil"/>
            </w:tcBorders>
          </w:tcPr>
          <w:p w:rsidR="000C6870" w:rsidRPr="000C6870" w:rsidRDefault="000C6870" w:rsidP="00F46409">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T</w:t>
            </w:r>
            <w:r>
              <w:rPr>
                <w:rFonts w:ascii="Times New Roman" w:hAnsi="Times New Roman" w:cs="Times New Roman"/>
              </w:rPr>
              <w:t>otale</w:t>
            </w:r>
          </w:p>
        </w:tc>
        <w:tc>
          <w:tcPr>
            <w:tcW w:w="2410"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0C6870" w:rsidRDefault="00D74AB8" w:rsidP="0052054F">
            <w:pPr>
              <w:pStyle w:val="Paragrafoelenco"/>
              <w:tabs>
                <w:tab w:val="left" w:pos="7018"/>
              </w:tabs>
              <w:ind w:left="0"/>
              <w:jc w:val="right"/>
              <w:rPr>
                <w:rFonts w:ascii="Times New Roman" w:hAnsi="Times New Roman" w:cs="Times New Roman"/>
                <w:b/>
              </w:rPr>
            </w:pPr>
            <w:r>
              <w:rPr>
                <w:rFonts w:ascii="Times New Roman" w:hAnsi="Times New Roman" w:cs="Times New Roman"/>
                <w:b/>
              </w:rPr>
              <w:t>244</w:t>
            </w:r>
            <w:r w:rsidR="0052054F">
              <w:rPr>
                <w:rFonts w:ascii="Times New Roman" w:hAnsi="Times New Roman" w:cs="Times New Roman"/>
                <w:b/>
              </w:rPr>
              <w:t>.</w:t>
            </w:r>
            <w:r>
              <w:rPr>
                <w:rFonts w:ascii="Times New Roman" w:hAnsi="Times New Roman" w:cs="Times New Roman"/>
                <w:b/>
              </w:rPr>
              <w:t>919</w:t>
            </w:r>
            <w:r w:rsidR="0052054F">
              <w:rPr>
                <w:rFonts w:ascii="Times New Roman" w:hAnsi="Times New Roman" w:cs="Times New Roman"/>
                <w:b/>
              </w:rPr>
              <w:t>,00</w:t>
            </w:r>
          </w:p>
        </w:tc>
      </w:tr>
    </w:tbl>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 xml:space="preserve">Si attesta la coerenza di quanto previsto con le previsioni in materia di meritocrazia e </w:t>
      </w:r>
      <w:proofErr w:type="spellStart"/>
      <w:r>
        <w:rPr>
          <w:rFonts w:ascii="Times New Roman" w:hAnsi="Times New Roman" w:cs="Times New Roman"/>
        </w:rPr>
        <w:t>premialità</w:t>
      </w:r>
      <w:proofErr w:type="spellEnd"/>
      <w:r>
        <w:rPr>
          <w:rFonts w:ascii="Times New Roman" w:hAnsi="Times New Roman" w:cs="Times New Roman"/>
        </w:rPr>
        <w:t xml:space="preserve"> ai fini della corresponsione degli incentivi per la performance individuale ed organizzativa , come disciplinata dai vigenti sistemi di misurazione e valutazione della performance organizzativa ed individuale.</w:t>
      </w: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I risultati attesi del maggiore impegno dei dipendenti destinatari del presente contratto decentrato sono rappresentati dagli obiettivi operativi previsti dal Piano della Performance di ogni anno e comunicati a ciascun dipendente, oltre ad ulteriori obiettivi individuali e/o di gruppo assegnati dal competente dirigente.</w:t>
      </w: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La valutazione dei risultati conseguiti rispetto a quelli previsti sarà fatta a consuntivo secondo il sistema di misurazione e valutazione vigente.</w:t>
      </w:r>
    </w:p>
    <w:p w:rsidR="000C6870" w:rsidRPr="00207C4A" w:rsidRDefault="000C6870" w:rsidP="00207C4A">
      <w:pPr>
        <w:pStyle w:val="Paragrafoelenco"/>
        <w:ind w:left="0"/>
        <w:jc w:val="both"/>
        <w:rPr>
          <w:rFonts w:ascii="Times New Roman" w:hAnsi="Times New Roman" w:cs="Times New Roman"/>
        </w:rPr>
      </w:pPr>
    </w:p>
    <w:sectPr w:rsidR="000C6870" w:rsidRPr="00207C4A" w:rsidSect="0051373C">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83" w:rsidRDefault="00936783" w:rsidP="000C6870">
      <w:pPr>
        <w:spacing w:after="0" w:line="240" w:lineRule="auto"/>
      </w:pPr>
      <w:r>
        <w:separator/>
      </w:r>
    </w:p>
  </w:endnote>
  <w:endnote w:type="continuationSeparator" w:id="0">
    <w:p w:rsidR="00936783" w:rsidRDefault="00936783" w:rsidP="000C6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83" w:rsidRDefault="00936783" w:rsidP="000C6870">
      <w:pPr>
        <w:spacing w:after="0" w:line="240" w:lineRule="auto"/>
      </w:pPr>
      <w:r>
        <w:separator/>
      </w:r>
    </w:p>
  </w:footnote>
  <w:footnote w:type="continuationSeparator" w:id="0">
    <w:p w:rsidR="00936783" w:rsidRDefault="00936783" w:rsidP="000C6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Intestazione"/>
    </w:pPr>
    <w:r w:rsidRPr="00C33A68">
      <w:rPr>
        <w:noProof/>
        <w:lang w:eastAsia="it-IT"/>
      </w:rPr>
      <w:drawing>
        <wp:inline distT="0" distB="0" distL="0" distR="0">
          <wp:extent cx="3164840" cy="858520"/>
          <wp:effectExtent l="19050" t="0" r="0" b="0"/>
          <wp:docPr id="3" name="Immagine 1" descr="Z:\Regolazione_Mercato\Patrizi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golazione_Mercato\Patrizia\logo.png"/>
                  <pic:cNvPicPr>
                    <a:picLocks noChangeAspect="1" noChangeArrowheads="1"/>
                  </pic:cNvPicPr>
                </pic:nvPicPr>
                <pic:blipFill>
                  <a:blip r:embed="rId1" cstate="print"/>
                  <a:srcRect/>
                  <a:stretch>
                    <a:fillRect/>
                  </a:stretch>
                </pic:blipFill>
                <pic:spPr bwMode="auto">
                  <a:xfrm>
                    <a:off x="0" y="0"/>
                    <a:ext cx="3164840" cy="85852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0DB3"/>
    <w:multiLevelType w:val="hybridMultilevel"/>
    <w:tmpl w:val="DBB2E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AB3F91"/>
    <w:multiLevelType w:val="hybridMultilevel"/>
    <w:tmpl w:val="CC9AE720"/>
    <w:lvl w:ilvl="0" w:tplc="04100001">
      <w:start w:val="1"/>
      <w:numFmt w:val="bullet"/>
      <w:lvlText w:val=""/>
      <w:lvlJc w:val="left"/>
      <w:pPr>
        <w:ind w:left="2496" w:hanging="360"/>
      </w:pPr>
      <w:rPr>
        <w:rFonts w:ascii="Symbol" w:hAnsi="Symbol"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2">
    <w:nsid w:val="351C3B22"/>
    <w:multiLevelType w:val="hybridMultilevel"/>
    <w:tmpl w:val="ACC486BC"/>
    <w:lvl w:ilvl="0" w:tplc="FE6E49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4EBA7031"/>
    <w:multiLevelType w:val="hybridMultilevel"/>
    <w:tmpl w:val="1EE481EC"/>
    <w:lvl w:ilvl="0" w:tplc="9850A1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5215045"/>
    <w:multiLevelType w:val="hybridMultilevel"/>
    <w:tmpl w:val="0A1C17D6"/>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2C429C"/>
    <w:rsid w:val="000523AE"/>
    <w:rsid w:val="000C6870"/>
    <w:rsid w:val="00161FF8"/>
    <w:rsid w:val="00167F06"/>
    <w:rsid w:val="0017261A"/>
    <w:rsid w:val="00207C4A"/>
    <w:rsid w:val="00262451"/>
    <w:rsid w:val="002964A5"/>
    <w:rsid w:val="002A19AA"/>
    <w:rsid w:val="002C429C"/>
    <w:rsid w:val="002E3B90"/>
    <w:rsid w:val="00305619"/>
    <w:rsid w:val="0033621C"/>
    <w:rsid w:val="0036005A"/>
    <w:rsid w:val="00374FE9"/>
    <w:rsid w:val="00395897"/>
    <w:rsid w:val="003F3798"/>
    <w:rsid w:val="00404680"/>
    <w:rsid w:val="00422E11"/>
    <w:rsid w:val="00472C06"/>
    <w:rsid w:val="00474439"/>
    <w:rsid w:val="004D5679"/>
    <w:rsid w:val="004E3E8F"/>
    <w:rsid w:val="0051373C"/>
    <w:rsid w:val="0052054F"/>
    <w:rsid w:val="00550A00"/>
    <w:rsid w:val="00577D61"/>
    <w:rsid w:val="006314E5"/>
    <w:rsid w:val="006B298F"/>
    <w:rsid w:val="006E18C4"/>
    <w:rsid w:val="0075111A"/>
    <w:rsid w:val="007C74F3"/>
    <w:rsid w:val="008245EF"/>
    <w:rsid w:val="00854AB1"/>
    <w:rsid w:val="0086097E"/>
    <w:rsid w:val="00865529"/>
    <w:rsid w:val="00896F57"/>
    <w:rsid w:val="009236ED"/>
    <w:rsid w:val="00936783"/>
    <w:rsid w:val="00962BFF"/>
    <w:rsid w:val="009F4C37"/>
    <w:rsid w:val="00A654A1"/>
    <w:rsid w:val="00B7081B"/>
    <w:rsid w:val="00B76DED"/>
    <w:rsid w:val="00C056FD"/>
    <w:rsid w:val="00C33A68"/>
    <w:rsid w:val="00C62B81"/>
    <w:rsid w:val="00D6210A"/>
    <w:rsid w:val="00D74AB8"/>
    <w:rsid w:val="00DA01DB"/>
    <w:rsid w:val="00DF1B35"/>
    <w:rsid w:val="00E16DAC"/>
    <w:rsid w:val="00E2696D"/>
    <w:rsid w:val="00E31512"/>
    <w:rsid w:val="00E50C9F"/>
    <w:rsid w:val="00EC66CE"/>
    <w:rsid w:val="00EE1930"/>
    <w:rsid w:val="00F023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7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7F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F06"/>
    <w:rPr>
      <w:rFonts w:ascii="Tahoma" w:hAnsi="Tahoma" w:cs="Tahoma"/>
      <w:sz w:val="16"/>
      <w:szCs w:val="16"/>
    </w:rPr>
  </w:style>
  <w:style w:type="table" w:styleId="Grigliatabella">
    <w:name w:val="Table Grid"/>
    <w:basedOn w:val="Tabellanormale"/>
    <w:uiPriority w:val="59"/>
    <w:rsid w:val="0016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50C9F"/>
    <w:pPr>
      <w:ind w:left="720"/>
      <w:contextualSpacing/>
    </w:pPr>
  </w:style>
  <w:style w:type="paragraph" w:styleId="Intestazione">
    <w:name w:val="header"/>
    <w:basedOn w:val="Normale"/>
    <w:link w:val="IntestazioneCarattere"/>
    <w:uiPriority w:val="99"/>
    <w:semiHidden/>
    <w:unhideWhenUsed/>
    <w:rsid w:val="000C68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C6870"/>
  </w:style>
  <w:style w:type="paragraph" w:styleId="Pidipagina">
    <w:name w:val="footer"/>
    <w:basedOn w:val="Normale"/>
    <w:link w:val="PidipaginaCarattere"/>
    <w:uiPriority w:val="99"/>
    <w:semiHidden/>
    <w:unhideWhenUsed/>
    <w:rsid w:val="000C68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C6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1328</Words>
  <Characters>7572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cbr0054</dc:creator>
  <cp:lastModifiedBy>cbr0110</cp:lastModifiedBy>
  <cp:revision>8</cp:revision>
  <cp:lastPrinted>2014-07-18T12:18:00Z</cp:lastPrinted>
  <dcterms:created xsi:type="dcterms:W3CDTF">2015-02-23T15:15:00Z</dcterms:created>
  <dcterms:modified xsi:type="dcterms:W3CDTF">2015-05-13T12:10:00Z</dcterms:modified>
</cp:coreProperties>
</file>